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6D46" w14:textId="2F9AEF83" w:rsidR="0036068A" w:rsidRDefault="005546BC">
      <w:r>
        <w:rPr>
          <w:noProof/>
        </w:rPr>
        <w:drawing>
          <wp:anchor distT="0" distB="0" distL="114300" distR="114300" simplePos="0" relativeHeight="251658240" behindDoc="1" locked="0" layoutInCell="1" allowOverlap="1" wp14:anchorId="3A9E7940" wp14:editId="1B3D3D3E">
            <wp:simplePos x="0" y="0"/>
            <wp:positionH relativeFrom="column">
              <wp:posOffset>-181610</wp:posOffset>
            </wp:positionH>
            <wp:positionV relativeFrom="paragraph">
              <wp:posOffset>0</wp:posOffset>
            </wp:positionV>
            <wp:extent cx="2184400" cy="5969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342F6" w14:textId="5A8CD76B" w:rsidR="005546BC" w:rsidRPr="005546BC" w:rsidRDefault="005546BC" w:rsidP="005546BC"/>
    <w:p w14:paraId="68310DF8" w14:textId="3CF1C4BA" w:rsidR="005546BC" w:rsidRDefault="005546BC" w:rsidP="00D23A1D">
      <w:pPr>
        <w:spacing w:after="0"/>
      </w:pPr>
    </w:p>
    <w:p w14:paraId="7D78FF11" w14:textId="77777777" w:rsidR="00D23A1D" w:rsidRDefault="005546BC" w:rsidP="00D23A1D">
      <w:pPr>
        <w:tabs>
          <w:tab w:val="left" w:pos="1526"/>
        </w:tabs>
        <w:spacing w:after="0"/>
        <w:jc w:val="center"/>
        <w:rPr>
          <w:rFonts w:ascii="Poppins" w:hAnsi="Poppins" w:cs="Poppins"/>
          <w:b/>
          <w:bCs/>
          <w:lang w:val="en-GB"/>
        </w:rPr>
      </w:pPr>
      <w:r w:rsidRPr="00D23A1D">
        <w:rPr>
          <w:rFonts w:ascii="Poppins" w:hAnsi="Poppins" w:cs="Poppins"/>
          <w:b/>
          <w:bCs/>
          <w:lang w:val="en-GB"/>
        </w:rPr>
        <w:t>Expression of Interest (</w:t>
      </w:r>
      <w:proofErr w:type="spellStart"/>
      <w:r w:rsidRPr="00D23A1D">
        <w:rPr>
          <w:rFonts w:ascii="Poppins" w:hAnsi="Poppins" w:cs="Poppins"/>
          <w:b/>
          <w:bCs/>
          <w:lang w:val="en-GB"/>
        </w:rPr>
        <w:t>EoI</w:t>
      </w:r>
      <w:proofErr w:type="spellEnd"/>
      <w:r w:rsidRPr="00D23A1D">
        <w:rPr>
          <w:rFonts w:ascii="Poppins" w:hAnsi="Poppins" w:cs="Poppins"/>
          <w:b/>
          <w:bCs/>
          <w:lang w:val="en-GB"/>
        </w:rPr>
        <w:t xml:space="preserve">) for Kosovo </w:t>
      </w:r>
    </w:p>
    <w:p w14:paraId="2214E10C" w14:textId="04F671D1" w:rsidR="005546BC" w:rsidRPr="00D23A1D" w:rsidRDefault="005546BC" w:rsidP="00D23A1D">
      <w:pPr>
        <w:tabs>
          <w:tab w:val="left" w:pos="1526"/>
        </w:tabs>
        <w:spacing w:after="0"/>
        <w:jc w:val="center"/>
        <w:rPr>
          <w:rFonts w:ascii="Poppins" w:hAnsi="Poppins" w:cs="Poppins"/>
          <w:b/>
          <w:bCs/>
          <w:lang w:val="en-GB"/>
        </w:rPr>
      </w:pPr>
      <w:r w:rsidRPr="00D23A1D">
        <w:rPr>
          <w:rFonts w:ascii="Poppins" w:hAnsi="Poppins" w:cs="Poppins"/>
          <w:b/>
          <w:bCs/>
          <w:lang w:val="en-GB"/>
        </w:rPr>
        <w:t>information session</w:t>
      </w:r>
    </w:p>
    <w:p w14:paraId="1C740BD7" w14:textId="25DE2C75" w:rsidR="005546BC" w:rsidRDefault="005546BC" w:rsidP="00D23A1D">
      <w:pPr>
        <w:tabs>
          <w:tab w:val="left" w:pos="1526"/>
        </w:tabs>
        <w:spacing w:after="0"/>
        <w:jc w:val="center"/>
        <w:rPr>
          <w:rFonts w:ascii="Poppins" w:hAnsi="Poppins" w:cs="Poppins"/>
          <w:lang w:val="en-GB"/>
        </w:rPr>
      </w:pPr>
      <w:r w:rsidRPr="00D23A1D">
        <w:rPr>
          <w:rFonts w:ascii="Poppins" w:hAnsi="Poppins" w:cs="Poppins"/>
          <w:lang w:val="en-GB"/>
        </w:rPr>
        <w:t>Thursday, the 2</w:t>
      </w:r>
      <w:r w:rsidRPr="00D23A1D">
        <w:rPr>
          <w:rFonts w:ascii="Poppins" w:hAnsi="Poppins" w:cs="Poppins"/>
          <w:vertAlign w:val="superscript"/>
          <w:lang w:val="en-GB"/>
        </w:rPr>
        <w:t>nd</w:t>
      </w:r>
      <w:r w:rsidRPr="00D23A1D">
        <w:rPr>
          <w:rFonts w:ascii="Poppins" w:hAnsi="Poppins" w:cs="Poppins"/>
          <w:lang w:val="en-GB"/>
        </w:rPr>
        <w:t xml:space="preserve"> of March 2023 at 10AM CET on Microsoft Teams</w:t>
      </w:r>
    </w:p>
    <w:p w14:paraId="575C52F4" w14:textId="77777777" w:rsidR="00D23A1D" w:rsidRPr="00D23A1D" w:rsidRDefault="00D23A1D" w:rsidP="00D23A1D">
      <w:pPr>
        <w:tabs>
          <w:tab w:val="left" w:pos="1526"/>
        </w:tabs>
        <w:spacing w:after="0"/>
        <w:jc w:val="center"/>
        <w:rPr>
          <w:rFonts w:ascii="Poppins" w:hAnsi="Poppins" w:cs="Poppins"/>
          <w:lang w:val="en-GB"/>
        </w:rPr>
      </w:pPr>
    </w:p>
    <w:p w14:paraId="028BA4CF" w14:textId="7CC2D376" w:rsidR="00EE4A45" w:rsidRPr="00D23A1D" w:rsidRDefault="00EE4A45" w:rsidP="005546BC">
      <w:pPr>
        <w:tabs>
          <w:tab w:val="left" w:pos="1526"/>
        </w:tabs>
        <w:rPr>
          <w:rFonts w:ascii="Poppins" w:hAnsi="Poppins" w:cs="Poppins"/>
          <w:u w:val="single"/>
          <w:lang w:val="en-GB"/>
        </w:rPr>
      </w:pPr>
      <w:r w:rsidRPr="00D23A1D">
        <w:rPr>
          <w:rFonts w:ascii="Poppins" w:hAnsi="Poppins" w:cs="Poppins"/>
          <w:u w:val="single"/>
          <w:lang w:val="en-GB"/>
        </w:rPr>
        <w:t>Participation</w:t>
      </w:r>
    </w:p>
    <w:p w14:paraId="59374223" w14:textId="354B39AB" w:rsidR="00EE4A45" w:rsidRDefault="00EE4A45" w:rsidP="00D23A1D">
      <w:pPr>
        <w:tabs>
          <w:tab w:val="left" w:pos="1526"/>
        </w:tabs>
        <w:jc w:val="both"/>
        <w:rPr>
          <w:rFonts w:ascii="Poppins" w:hAnsi="Poppins" w:cs="Poppins"/>
          <w:lang w:val="en-GB"/>
        </w:rPr>
      </w:pPr>
      <w:r w:rsidRPr="00D23A1D">
        <w:rPr>
          <w:rFonts w:ascii="Poppins" w:hAnsi="Poppins" w:cs="Poppins"/>
          <w:lang w:val="en-GB"/>
        </w:rPr>
        <w:t xml:space="preserve">The </w:t>
      </w:r>
      <w:proofErr w:type="spellStart"/>
      <w:r w:rsidRPr="00D23A1D">
        <w:rPr>
          <w:rFonts w:ascii="Poppins" w:hAnsi="Poppins" w:cs="Poppins"/>
          <w:lang w:val="en-GB"/>
        </w:rPr>
        <w:t>EoI</w:t>
      </w:r>
      <w:proofErr w:type="spellEnd"/>
      <w:r w:rsidRPr="00D23A1D">
        <w:rPr>
          <w:rFonts w:ascii="Poppins" w:hAnsi="Poppins" w:cs="Poppins"/>
          <w:lang w:val="en-GB"/>
        </w:rPr>
        <w:t xml:space="preserve"> information session was attended by 1</w:t>
      </w:r>
      <w:r w:rsidR="00565931">
        <w:rPr>
          <w:rFonts w:ascii="Poppins" w:hAnsi="Poppins" w:cs="Poppins"/>
          <w:lang w:val="en-GB"/>
        </w:rPr>
        <w:t>2</w:t>
      </w:r>
      <w:r w:rsidRPr="00D23A1D">
        <w:rPr>
          <w:rFonts w:ascii="Poppins" w:hAnsi="Poppins" w:cs="Poppins"/>
          <w:lang w:val="en-GB"/>
        </w:rPr>
        <w:t xml:space="preserve"> participants including representatives </w:t>
      </w:r>
      <w:r w:rsidR="00D23A1D">
        <w:rPr>
          <w:rFonts w:ascii="Poppins" w:hAnsi="Poppins" w:cs="Poppins"/>
          <w:lang w:val="en-GB"/>
        </w:rPr>
        <w:t xml:space="preserve">from </w:t>
      </w:r>
      <w:r w:rsidR="00925ED9">
        <w:rPr>
          <w:rFonts w:ascii="Poppins" w:hAnsi="Poppins" w:cs="Poppins"/>
          <w:lang w:val="en-GB"/>
        </w:rPr>
        <w:t>three</w:t>
      </w:r>
      <w:r w:rsidR="00D23A1D">
        <w:rPr>
          <w:rFonts w:ascii="Poppins" w:hAnsi="Poppins" w:cs="Poppins"/>
          <w:lang w:val="en-GB"/>
        </w:rPr>
        <w:t xml:space="preserve"> CSO</w:t>
      </w:r>
      <w:r w:rsidR="0063446C">
        <w:rPr>
          <w:rFonts w:ascii="Poppins" w:hAnsi="Poppins" w:cs="Poppins"/>
          <w:lang w:val="en-GB"/>
        </w:rPr>
        <w:t>s</w:t>
      </w:r>
      <w:r w:rsidR="00D23A1D">
        <w:rPr>
          <w:rFonts w:ascii="Poppins" w:hAnsi="Poppins" w:cs="Poppins"/>
          <w:lang w:val="en-GB"/>
        </w:rPr>
        <w:t xml:space="preserve"> in Kosovo.</w:t>
      </w:r>
    </w:p>
    <w:p w14:paraId="4E8F0B88" w14:textId="06648ADE" w:rsidR="00D23A1D" w:rsidRPr="00D23A1D" w:rsidRDefault="00D23A1D" w:rsidP="00D23A1D">
      <w:pPr>
        <w:tabs>
          <w:tab w:val="left" w:pos="1526"/>
        </w:tabs>
        <w:jc w:val="both"/>
        <w:rPr>
          <w:rFonts w:ascii="Poppins" w:hAnsi="Poppins" w:cs="Poppins"/>
          <w:u w:val="single"/>
          <w:lang w:val="en-GB"/>
        </w:rPr>
      </w:pPr>
      <w:r w:rsidRPr="00D23A1D">
        <w:rPr>
          <w:rFonts w:ascii="Poppins" w:hAnsi="Poppins" w:cs="Poppins"/>
          <w:u w:val="single"/>
          <w:lang w:val="en-GB"/>
        </w:rPr>
        <w:t>Introduction to GCERF</w:t>
      </w:r>
    </w:p>
    <w:p w14:paraId="2FD4D594" w14:textId="7282F4EB" w:rsidR="0006624A" w:rsidRPr="0063446C" w:rsidRDefault="0006624A" w:rsidP="001A11A6">
      <w:pPr>
        <w:widowControl w:val="0"/>
        <w:autoSpaceDE w:val="0"/>
        <w:autoSpaceDN w:val="0"/>
        <w:adjustRightInd w:val="0"/>
        <w:spacing w:after="120" w:line="276" w:lineRule="auto"/>
        <w:jc w:val="both"/>
        <w:rPr>
          <w:rFonts w:ascii="Poppins" w:hAnsi="Poppins" w:cs="Poppins"/>
          <w:color w:val="000000"/>
        </w:rPr>
      </w:pPr>
      <w:r w:rsidRPr="0063446C">
        <w:rPr>
          <w:rFonts w:ascii="Poppins" w:hAnsi="Poppins" w:cs="Poppins"/>
          <w:color w:val="000000"/>
          <w:lang w:val="en-GB"/>
        </w:rPr>
        <w:t>T</w:t>
      </w:r>
      <w:r w:rsidRPr="0063446C">
        <w:rPr>
          <w:rFonts w:ascii="Poppins" w:hAnsi="Poppins" w:cs="Poppins"/>
          <w:color w:val="000000"/>
        </w:rPr>
        <w:t xml:space="preserve">he Global Community Engagement and Resilience Fund (GCERF) is the global fund dedicated to preventing violent extremism. GCERF is a multi-stakeholder fund based in Geneva, Switzerland. All GCERF funding stems from donor governments, which are pooled in GCERF and granted out to local </w:t>
      </w:r>
      <w:proofErr w:type="spellStart"/>
      <w:r w:rsidRPr="0063446C">
        <w:rPr>
          <w:rFonts w:ascii="Poppins" w:hAnsi="Poppins" w:cs="Poppins"/>
          <w:color w:val="000000"/>
        </w:rPr>
        <w:t>CSOs</w:t>
      </w:r>
      <w:proofErr w:type="spellEnd"/>
      <w:r w:rsidRPr="0063446C">
        <w:rPr>
          <w:rFonts w:ascii="Poppins" w:hAnsi="Poppins" w:cs="Poppins"/>
          <w:color w:val="000000"/>
        </w:rPr>
        <w:t>.</w:t>
      </w:r>
    </w:p>
    <w:p w14:paraId="122C07FF" w14:textId="3FEADAB3" w:rsidR="0006624A" w:rsidRPr="0063446C" w:rsidRDefault="0006624A" w:rsidP="001A11A6">
      <w:pPr>
        <w:widowControl w:val="0"/>
        <w:autoSpaceDE w:val="0"/>
        <w:autoSpaceDN w:val="0"/>
        <w:adjustRightInd w:val="0"/>
        <w:spacing w:after="120" w:line="276" w:lineRule="auto"/>
        <w:jc w:val="both"/>
        <w:rPr>
          <w:rFonts w:ascii="Poppins" w:eastAsia="Times New Roman" w:hAnsi="Poppins" w:cs="Poppins"/>
          <w:noProof/>
          <w:color w:val="000000"/>
        </w:rPr>
      </w:pPr>
      <w:r w:rsidRPr="0063446C">
        <w:rPr>
          <w:rFonts w:ascii="Poppins" w:hAnsi="Poppins" w:cs="Poppins"/>
          <w:color w:val="000000"/>
        </w:rPr>
        <w:t xml:space="preserve">GCERF </w:t>
      </w:r>
      <w:r w:rsidRPr="0063446C">
        <w:rPr>
          <w:rFonts w:ascii="Poppins" w:eastAsia="Times New Roman" w:hAnsi="Poppins" w:cs="Poppins"/>
          <w:noProof/>
          <w:color w:val="000000"/>
        </w:rPr>
        <w:t>began its first investments in the Western Balkans in November 2017 with two rounds of funding in Kosovo.  Out of the first two rounds of funding, GCERF funded five grants for a total commitment of USD 2.5 million over three years.  These programmes cover a wide range of prevention topics, focusing on all four of GCERF’s leverage points (Social Cohesion, Community Agency, Sense of Purpose, and Equal Access to Opportunities). GCERF’s grants contributed to community-based reintegration of returness from conflicts abroad and their families</w:t>
      </w:r>
      <w:r w:rsidRPr="0063446C">
        <w:rPr>
          <w:rStyle w:val="FootnoteReference"/>
          <w:rFonts w:ascii="Poppins" w:eastAsia="Times New Roman" w:hAnsi="Poppins" w:cs="Poppins"/>
          <w:noProof/>
        </w:rPr>
        <w:footnoteReference w:id="1"/>
      </w:r>
      <w:r w:rsidRPr="0063446C">
        <w:rPr>
          <w:rFonts w:ascii="Poppins" w:eastAsia="Times New Roman" w:hAnsi="Poppins" w:cs="Poppins"/>
          <w:noProof/>
        </w:rPr>
        <w:t>.</w:t>
      </w:r>
      <w:r w:rsidRPr="0063446C">
        <w:rPr>
          <w:rFonts w:ascii="Poppins" w:eastAsia="Times New Roman" w:hAnsi="Poppins" w:cs="Poppins"/>
          <w:noProof/>
          <w:color w:val="000000"/>
        </w:rPr>
        <w:t xml:space="preserve"> The grants have been supported along the way by a dedicated Country Support Mechanism (CSM) that includes members of the Government of Kosovo, civil society, and the donor community. </w:t>
      </w:r>
    </w:p>
    <w:p w14:paraId="3E3B8F90" w14:textId="77777777" w:rsidR="0006624A" w:rsidRPr="0063446C" w:rsidRDefault="0006624A" w:rsidP="001A11A6">
      <w:pPr>
        <w:widowControl w:val="0"/>
        <w:autoSpaceDE w:val="0"/>
        <w:autoSpaceDN w:val="0"/>
        <w:adjustRightInd w:val="0"/>
        <w:spacing w:after="120" w:line="276" w:lineRule="auto"/>
        <w:jc w:val="both"/>
        <w:rPr>
          <w:rFonts w:ascii="Poppins" w:eastAsia="Times New Roman" w:hAnsi="Poppins" w:cs="Poppins"/>
          <w:noProof/>
          <w:color w:val="000000"/>
        </w:rPr>
      </w:pPr>
      <w:r w:rsidRPr="0063446C">
        <w:rPr>
          <w:rFonts w:ascii="Poppins" w:eastAsia="Times New Roman" w:hAnsi="Poppins" w:cs="Poppins"/>
          <w:noProof/>
          <w:color w:val="000000"/>
        </w:rPr>
        <w:t xml:space="preserve">In June 2020 GCERF promulgated a regional investment strategy focused on community based reintegration and rehabillitation (R&amp;R) of returned foreign terrorist fighters and their families.  At the time, the strategy covered Albania, Kosovo, North Macedonia and Bosnia and Herzegovina.  Between November 2020 and March 2022 GCERF signed eight (8) grant agreements with six (6) principal recipients and two (2) direct grantees supporting more than sixteen (16) local </w:t>
      </w:r>
      <w:r w:rsidRPr="0063446C">
        <w:rPr>
          <w:rFonts w:ascii="Poppins" w:eastAsia="Times New Roman" w:hAnsi="Poppins" w:cs="Poppins"/>
          <w:noProof/>
          <w:color w:val="000000"/>
        </w:rPr>
        <w:lastRenderedPageBreak/>
        <w:t xml:space="preserve">organisations in the region.  In 2022 GCERF began to review the investment strategy for Kosovo and in February 2023, the GCERF Updated Strategy Chapter for Investment in Kosovo was approved by the GCERF Governing Board. GCERF is now launching this call to identify consortium partners in Kosovo for 2023-2026. </w:t>
      </w:r>
    </w:p>
    <w:p w14:paraId="2C06B4E7" w14:textId="77777777" w:rsidR="0006624A" w:rsidRPr="0006624A" w:rsidRDefault="0006624A" w:rsidP="001A11A6">
      <w:pPr>
        <w:tabs>
          <w:tab w:val="left" w:pos="1526"/>
        </w:tabs>
        <w:spacing w:after="120"/>
        <w:jc w:val="both"/>
        <w:rPr>
          <w:rFonts w:ascii="Poppins" w:hAnsi="Poppins" w:cs="Poppins"/>
          <w:lang w:val="en-GB"/>
        </w:rPr>
      </w:pPr>
      <w:r w:rsidRPr="0006624A">
        <w:rPr>
          <w:rFonts w:ascii="Poppins" w:hAnsi="Poppins" w:cs="Poppins"/>
          <w:lang w:val="en-GB"/>
        </w:rPr>
        <w:t xml:space="preserve">Through this call of </w:t>
      </w:r>
      <w:proofErr w:type="spellStart"/>
      <w:r w:rsidRPr="0006624A">
        <w:rPr>
          <w:rFonts w:ascii="Poppins" w:hAnsi="Poppins" w:cs="Poppins"/>
          <w:lang w:val="en-GB"/>
        </w:rPr>
        <w:t>EoI</w:t>
      </w:r>
      <w:proofErr w:type="spellEnd"/>
      <w:r w:rsidRPr="0006624A">
        <w:rPr>
          <w:rFonts w:ascii="Poppins" w:hAnsi="Poppins" w:cs="Poppins"/>
          <w:lang w:val="en-GB"/>
        </w:rPr>
        <w:t xml:space="preserve"> GCERF intends to grant at least two (2) awards during this round of funding. Of </w:t>
      </w:r>
      <w:proofErr w:type="gramStart"/>
      <w:r w:rsidRPr="0006624A">
        <w:rPr>
          <w:rFonts w:ascii="Poppins" w:hAnsi="Poppins" w:cs="Poppins"/>
          <w:lang w:val="en-GB"/>
        </w:rPr>
        <w:t>first priority</w:t>
      </w:r>
      <w:proofErr w:type="gramEnd"/>
      <w:r w:rsidRPr="0006624A">
        <w:rPr>
          <w:rFonts w:ascii="Poppins" w:hAnsi="Poppins" w:cs="Poppins"/>
          <w:lang w:val="en-GB"/>
        </w:rPr>
        <w:t xml:space="preserve"> is a grant oriented to </w:t>
      </w:r>
      <w:r w:rsidRPr="007C7EA2">
        <w:rPr>
          <w:rFonts w:ascii="Poppins" w:hAnsi="Poppins" w:cs="Poppins"/>
          <w:lang w:val="en-US"/>
        </w:rPr>
        <w:t xml:space="preserve">strengthen capacity of frontline workers and institutions to address violent extremism and ensure sustainability of </w:t>
      </w:r>
      <w:proofErr w:type="spellStart"/>
      <w:r w:rsidRPr="007C7EA2">
        <w:rPr>
          <w:rFonts w:ascii="Poppins" w:hAnsi="Poppins" w:cs="Poppins"/>
          <w:lang w:val="en-US"/>
        </w:rPr>
        <w:t>GoK’s</w:t>
      </w:r>
      <w:proofErr w:type="spellEnd"/>
      <w:r w:rsidRPr="007C7EA2">
        <w:rPr>
          <w:rFonts w:ascii="Poppins" w:hAnsi="Poppins" w:cs="Poppins"/>
          <w:lang w:val="en-US"/>
        </w:rPr>
        <w:t xml:space="preserve"> focus on R&amp;R</w:t>
      </w:r>
      <w:r w:rsidRPr="0006624A">
        <w:rPr>
          <w:rFonts w:ascii="Poppins" w:hAnsi="Poppins" w:cs="Poppins"/>
          <w:lang w:val="en-US"/>
        </w:rPr>
        <w:t xml:space="preserve">; and the second to </w:t>
      </w:r>
      <w:r w:rsidRPr="007C7EA2">
        <w:rPr>
          <w:rFonts w:ascii="Poppins" w:hAnsi="Poppins" w:cs="Poppins"/>
          <w:lang w:val="en-US"/>
        </w:rPr>
        <w:t xml:space="preserve">support correctional and probation services with the challenges around </w:t>
      </w:r>
      <w:proofErr w:type="spellStart"/>
      <w:r w:rsidRPr="007C7EA2">
        <w:rPr>
          <w:rFonts w:ascii="Poppins" w:hAnsi="Poppins" w:cs="Poppins"/>
          <w:lang w:val="en-US"/>
        </w:rPr>
        <w:t>radicalisation</w:t>
      </w:r>
      <w:proofErr w:type="spellEnd"/>
      <w:r w:rsidRPr="007C7EA2">
        <w:rPr>
          <w:rFonts w:ascii="Poppins" w:hAnsi="Poppins" w:cs="Poppins"/>
          <w:lang w:val="en-US"/>
        </w:rPr>
        <w:t xml:space="preserve"> in prisons and reintegration of ex-offenders</w:t>
      </w:r>
      <w:r w:rsidRPr="0006624A">
        <w:rPr>
          <w:rFonts w:ascii="Poppins" w:hAnsi="Poppins" w:cs="Poppins"/>
          <w:lang w:val="en-US"/>
        </w:rPr>
        <w:t>.</w:t>
      </w:r>
    </w:p>
    <w:p w14:paraId="573BBBA3" w14:textId="0B52B373" w:rsidR="007C7EA2" w:rsidRPr="0006624A" w:rsidRDefault="0006624A" w:rsidP="00E76432">
      <w:pPr>
        <w:tabs>
          <w:tab w:val="left" w:pos="1526"/>
        </w:tabs>
        <w:jc w:val="both"/>
        <w:rPr>
          <w:rFonts w:ascii="Poppins" w:hAnsi="Poppins" w:cs="Poppins"/>
          <w:u w:val="single"/>
          <w:lang w:val="en-GB"/>
        </w:rPr>
      </w:pPr>
      <w:r w:rsidRPr="0006624A">
        <w:rPr>
          <w:rFonts w:ascii="Poppins" w:hAnsi="Poppins" w:cs="Poppins"/>
          <w:u w:val="single"/>
          <w:lang w:val="en-GB"/>
        </w:rPr>
        <w:t>Q&amp;A with participants</w:t>
      </w:r>
    </w:p>
    <w:p w14:paraId="7EBB089B" w14:textId="4E44916D" w:rsidR="0006624A" w:rsidRPr="0063446C" w:rsidRDefault="00A4324E" w:rsidP="0063446C">
      <w:pPr>
        <w:pStyle w:val="ListParagraph"/>
        <w:numPr>
          <w:ilvl w:val="0"/>
          <w:numId w:val="2"/>
        </w:numPr>
        <w:tabs>
          <w:tab w:val="left" w:pos="1526"/>
        </w:tabs>
        <w:jc w:val="both"/>
        <w:rPr>
          <w:rFonts w:ascii="Poppins" w:hAnsi="Poppins" w:cs="Poppins"/>
          <w:i/>
          <w:iCs/>
          <w:lang w:val="en-GB"/>
        </w:rPr>
      </w:pPr>
      <w:r w:rsidRPr="0063446C">
        <w:rPr>
          <w:rFonts w:ascii="Poppins" w:hAnsi="Poppins" w:cs="Poppins"/>
          <w:i/>
          <w:iCs/>
          <w:lang w:val="en-GB"/>
        </w:rPr>
        <w:t xml:space="preserve">Clarifications about </w:t>
      </w:r>
      <w:r w:rsidR="006332A7" w:rsidRPr="0063446C">
        <w:rPr>
          <w:rFonts w:ascii="Poppins" w:hAnsi="Poppins" w:cs="Poppins"/>
          <w:i/>
          <w:iCs/>
          <w:lang w:val="en-GB"/>
        </w:rPr>
        <w:t xml:space="preserve">completing Annex C – proposed budget </w:t>
      </w:r>
      <w:proofErr w:type="gramStart"/>
      <w:r w:rsidR="006332A7" w:rsidRPr="0063446C">
        <w:rPr>
          <w:rFonts w:ascii="Poppins" w:hAnsi="Poppins" w:cs="Poppins"/>
          <w:i/>
          <w:iCs/>
          <w:lang w:val="en-GB"/>
        </w:rPr>
        <w:t>outline</w:t>
      </w:r>
      <w:proofErr w:type="gramEnd"/>
    </w:p>
    <w:p w14:paraId="46F256C4" w14:textId="12A54656" w:rsidR="006332A7" w:rsidRDefault="006332A7" w:rsidP="006332A7">
      <w:pPr>
        <w:tabs>
          <w:tab w:val="left" w:pos="1526"/>
        </w:tabs>
        <w:jc w:val="both"/>
        <w:rPr>
          <w:rFonts w:ascii="Poppins" w:hAnsi="Poppins" w:cs="Poppins"/>
          <w:lang w:val="en-GB"/>
        </w:rPr>
      </w:pPr>
      <w:r w:rsidRPr="006332A7">
        <w:rPr>
          <w:rFonts w:ascii="Poppins" w:hAnsi="Poppins" w:cs="Poppins"/>
          <w:lang w:val="en-GB"/>
        </w:rPr>
        <w:t>All costs relating to deliverables</w:t>
      </w:r>
      <w:r>
        <w:rPr>
          <w:rFonts w:ascii="Poppins" w:hAnsi="Poppins" w:cs="Poppins"/>
          <w:lang w:val="en-GB"/>
        </w:rPr>
        <w:t xml:space="preserve">, including </w:t>
      </w:r>
      <w:r w:rsidR="00EC59D7">
        <w:rPr>
          <w:rFonts w:ascii="Poppins" w:hAnsi="Poppins" w:cs="Poppins"/>
          <w:lang w:val="en-GB"/>
        </w:rPr>
        <w:t>the sub-</w:t>
      </w:r>
      <w:proofErr w:type="gramStart"/>
      <w:r w:rsidR="00EC59D7">
        <w:rPr>
          <w:rFonts w:ascii="Poppins" w:hAnsi="Poppins" w:cs="Poppins"/>
          <w:lang w:val="en-GB"/>
        </w:rPr>
        <w:t>recipients</w:t>
      </w:r>
      <w:proofErr w:type="gramEnd"/>
      <w:r w:rsidR="00EC59D7">
        <w:rPr>
          <w:rFonts w:ascii="Poppins" w:hAnsi="Poppins" w:cs="Poppins"/>
          <w:lang w:val="en-GB"/>
        </w:rPr>
        <w:t xml:space="preserve"> management costs</w:t>
      </w:r>
      <w:r w:rsidRPr="006332A7">
        <w:rPr>
          <w:rFonts w:ascii="Poppins" w:hAnsi="Poppins" w:cs="Poppins"/>
          <w:lang w:val="en-GB"/>
        </w:rPr>
        <w:t xml:space="preserve"> should be budgeted in the template under the outputs.</w:t>
      </w:r>
      <w:r w:rsidR="00EC59D7">
        <w:rPr>
          <w:rFonts w:ascii="Poppins" w:hAnsi="Poppins" w:cs="Poppins"/>
          <w:lang w:val="en-GB"/>
        </w:rPr>
        <w:t xml:space="preserve"> </w:t>
      </w:r>
      <w:r w:rsidR="00EC59D7" w:rsidRPr="006332A7">
        <w:rPr>
          <w:rFonts w:ascii="Poppins" w:hAnsi="Poppins" w:cs="Poppins"/>
          <w:lang w:val="en-GB"/>
        </w:rPr>
        <w:t>All costs associated with managing the consortium are put in the separate section.</w:t>
      </w:r>
    </w:p>
    <w:p w14:paraId="65D4F118" w14:textId="79662374" w:rsidR="00EC59D7" w:rsidRPr="0063446C" w:rsidRDefault="00EC59D7" w:rsidP="0063446C">
      <w:pPr>
        <w:pStyle w:val="ListParagraph"/>
        <w:numPr>
          <w:ilvl w:val="0"/>
          <w:numId w:val="2"/>
        </w:numPr>
        <w:tabs>
          <w:tab w:val="left" w:pos="1526"/>
        </w:tabs>
        <w:jc w:val="both"/>
        <w:rPr>
          <w:rFonts w:ascii="Poppins" w:hAnsi="Poppins" w:cs="Poppins"/>
          <w:i/>
          <w:iCs/>
          <w:lang w:val="en-GB"/>
        </w:rPr>
      </w:pPr>
      <w:r w:rsidRPr="0063446C">
        <w:rPr>
          <w:rFonts w:ascii="Poppins" w:hAnsi="Poppins" w:cs="Poppins"/>
          <w:i/>
          <w:iCs/>
          <w:lang w:val="en-GB"/>
        </w:rPr>
        <w:t>How do you see the alignment between two priorities to be addressed by the consortia? Does addressing both priorities bring a higher value proposition?</w:t>
      </w:r>
    </w:p>
    <w:p w14:paraId="277DEE58" w14:textId="6BDA35DB" w:rsidR="00A4324E" w:rsidRDefault="00A4324E" w:rsidP="00E76432">
      <w:pPr>
        <w:tabs>
          <w:tab w:val="left" w:pos="1526"/>
        </w:tabs>
        <w:jc w:val="both"/>
        <w:rPr>
          <w:rFonts w:ascii="Poppins" w:hAnsi="Poppins" w:cs="Poppins"/>
          <w:lang w:val="en-GB"/>
        </w:rPr>
      </w:pPr>
      <w:r>
        <w:rPr>
          <w:rFonts w:ascii="Poppins" w:hAnsi="Poppins" w:cs="Poppins"/>
          <w:lang w:val="en-GB"/>
        </w:rPr>
        <w:t xml:space="preserve">We expect that there will be different partners for the two priorities: one working on </w:t>
      </w:r>
      <w:r w:rsidR="00EC59D7" w:rsidRPr="00EC59D7">
        <w:rPr>
          <w:rFonts w:ascii="Poppins" w:hAnsi="Poppins" w:cs="Poppins"/>
          <w:lang w:val="en-GB"/>
        </w:rPr>
        <w:t>strengthen</w:t>
      </w:r>
      <w:r w:rsidR="00EC59D7">
        <w:rPr>
          <w:rFonts w:ascii="Poppins" w:hAnsi="Poppins" w:cs="Poppins"/>
          <w:lang w:val="en-GB"/>
        </w:rPr>
        <w:t>ing</w:t>
      </w:r>
      <w:r w:rsidR="00EC59D7" w:rsidRPr="00EC59D7">
        <w:rPr>
          <w:rFonts w:ascii="Poppins" w:hAnsi="Poppins" w:cs="Poppins"/>
          <w:lang w:val="en-GB"/>
        </w:rPr>
        <w:t xml:space="preserve"> capacity of frontline workers and institutions to address violent extremism and ensure sustainability of </w:t>
      </w:r>
      <w:proofErr w:type="spellStart"/>
      <w:r w:rsidR="00EC59D7" w:rsidRPr="00EC59D7">
        <w:rPr>
          <w:rFonts w:ascii="Poppins" w:hAnsi="Poppins" w:cs="Poppins"/>
          <w:lang w:val="en-GB"/>
        </w:rPr>
        <w:t>GoK’s</w:t>
      </w:r>
      <w:proofErr w:type="spellEnd"/>
      <w:r w:rsidR="00EC59D7" w:rsidRPr="00EC59D7">
        <w:rPr>
          <w:rFonts w:ascii="Poppins" w:hAnsi="Poppins" w:cs="Poppins"/>
          <w:lang w:val="en-GB"/>
        </w:rPr>
        <w:t xml:space="preserve"> focus on R&amp;R</w:t>
      </w:r>
      <w:r w:rsidR="00EC59D7">
        <w:rPr>
          <w:rFonts w:ascii="Poppins" w:hAnsi="Poppins" w:cs="Poppins"/>
          <w:lang w:val="en-GB"/>
        </w:rPr>
        <w:t>,</w:t>
      </w:r>
      <w:r>
        <w:rPr>
          <w:rFonts w:ascii="Poppins" w:hAnsi="Poppins" w:cs="Poppins"/>
          <w:lang w:val="en-GB"/>
        </w:rPr>
        <w:t xml:space="preserve"> and another one on </w:t>
      </w:r>
      <w:r w:rsidR="00EC59D7" w:rsidRPr="00EC59D7">
        <w:rPr>
          <w:rFonts w:ascii="Poppins" w:hAnsi="Poppins" w:cs="Poppins"/>
          <w:lang w:val="en-GB"/>
        </w:rPr>
        <w:t>support</w:t>
      </w:r>
      <w:r w:rsidR="00EC59D7">
        <w:rPr>
          <w:rFonts w:ascii="Poppins" w:hAnsi="Poppins" w:cs="Poppins"/>
          <w:lang w:val="en-GB"/>
        </w:rPr>
        <w:t>ing</w:t>
      </w:r>
      <w:r w:rsidR="00EC59D7" w:rsidRPr="00EC59D7">
        <w:rPr>
          <w:rFonts w:ascii="Poppins" w:hAnsi="Poppins" w:cs="Poppins"/>
          <w:lang w:val="en-GB"/>
        </w:rPr>
        <w:t xml:space="preserve"> correctional and probation services with the challenges around radicalisation in prisons and reintegration of ex-offenders</w:t>
      </w:r>
      <w:r w:rsidR="00EC59D7">
        <w:rPr>
          <w:rFonts w:ascii="Poppins" w:hAnsi="Poppins" w:cs="Poppins"/>
          <w:lang w:val="en-GB"/>
        </w:rPr>
        <w:t>.</w:t>
      </w:r>
      <w:r>
        <w:rPr>
          <w:rFonts w:ascii="Poppins" w:hAnsi="Poppins" w:cs="Poppins"/>
          <w:lang w:val="en-GB"/>
        </w:rPr>
        <w:t xml:space="preserve"> We don’t expect one consortium to cover both priorities.</w:t>
      </w:r>
    </w:p>
    <w:p w14:paraId="447DD089" w14:textId="669829F6" w:rsidR="00EC59D7" w:rsidRPr="0063446C" w:rsidRDefault="00EC59D7" w:rsidP="0063446C">
      <w:pPr>
        <w:pStyle w:val="ListParagraph"/>
        <w:numPr>
          <w:ilvl w:val="0"/>
          <w:numId w:val="2"/>
        </w:numPr>
        <w:tabs>
          <w:tab w:val="left" w:pos="1526"/>
        </w:tabs>
        <w:jc w:val="both"/>
        <w:rPr>
          <w:rFonts w:ascii="Poppins" w:hAnsi="Poppins" w:cs="Poppins"/>
          <w:i/>
          <w:iCs/>
          <w:lang w:val="en-GB"/>
        </w:rPr>
      </w:pPr>
      <w:r w:rsidRPr="0063446C">
        <w:rPr>
          <w:rFonts w:ascii="Poppins" w:hAnsi="Poppins" w:cs="Poppins"/>
          <w:i/>
          <w:iCs/>
          <w:lang w:val="en-GB"/>
        </w:rPr>
        <w:t xml:space="preserve">When submitting an </w:t>
      </w:r>
      <w:proofErr w:type="spellStart"/>
      <w:r w:rsidRPr="0063446C">
        <w:rPr>
          <w:rFonts w:ascii="Poppins" w:hAnsi="Poppins" w:cs="Poppins"/>
          <w:i/>
          <w:iCs/>
          <w:lang w:val="en-GB"/>
        </w:rPr>
        <w:t>EoI</w:t>
      </w:r>
      <w:proofErr w:type="spellEnd"/>
      <w:r w:rsidRPr="0063446C">
        <w:rPr>
          <w:rFonts w:ascii="Poppins" w:hAnsi="Poppins" w:cs="Poppins"/>
          <w:i/>
          <w:iCs/>
          <w:lang w:val="en-GB"/>
        </w:rPr>
        <w:t xml:space="preserve"> as a principal recipient, how detailed should be the information on potential sub-recipients? </w:t>
      </w:r>
    </w:p>
    <w:p w14:paraId="4E566EC6" w14:textId="04319F98" w:rsidR="00A4324E" w:rsidRDefault="00A4324E" w:rsidP="00E76432">
      <w:pPr>
        <w:tabs>
          <w:tab w:val="left" w:pos="1526"/>
        </w:tabs>
        <w:jc w:val="both"/>
        <w:rPr>
          <w:rFonts w:ascii="Poppins" w:hAnsi="Poppins" w:cs="Poppins"/>
          <w:lang w:val="en-GB"/>
        </w:rPr>
      </w:pPr>
      <w:r>
        <w:rPr>
          <w:rFonts w:ascii="Poppins" w:hAnsi="Poppins" w:cs="Poppins"/>
          <w:lang w:val="en-GB"/>
        </w:rPr>
        <w:t>At least</w:t>
      </w:r>
      <w:r w:rsidR="00EC59D7">
        <w:rPr>
          <w:rFonts w:ascii="Poppins" w:hAnsi="Poppins" w:cs="Poppins"/>
          <w:lang w:val="en-GB"/>
        </w:rPr>
        <w:t xml:space="preserve"> the</w:t>
      </w:r>
      <w:r>
        <w:rPr>
          <w:rFonts w:ascii="Poppins" w:hAnsi="Poppins" w:cs="Poppins"/>
          <w:lang w:val="en-GB"/>
        </w:rPr>
        <w:t xml:space="preserve"> identif</w:t>
      </w:r>
      <w:r w:rsidR="00EC59D7">
        <w:rPr>
          <w:rFonts w:ascii="Poppins" w:hAnsi="Poppins" w:cs="Poppins"/>
          <w:lang w:val="en-GB"/>
        </w:rPr>
        <w:t>ication of</w:t>
      </w:r>
      <w:r>
        <w:rPr>
          <w:rFonts w:ascii="Poppins" w:hAnsi="Poppins" w:cs="Poppins"/>
          <w:lang w:val="en-GB"/>
        </w:rPr>
        <w:t xml:space="preserve"> potential </w:t>
      </w:r>
      <w:r w:rsidR="00FA4D5F">
        <w:rPr>
          <w:rFonts w:ascii="Poppins" w:hAnsi="Poppins" w:cs="Poppins"/>
          <w:lang w:val="en-GB"/>
        </w:rPr>
        <w:t>sub-recipients</w:t>
      </w:r>
      <w:r>
        <w:rPr>
          <w:rFonts w:ascii="Poppins" w:hAnsi="Poppins" w:cs="Poppins"/>
          <w:lang w:val="en-GB"/>
        </w:rPr>
        <w:t xml:space="preserve"> and specif</w:t>
      </w:r>
      <w:r w:rsidR="00EC59D7">
        <w:rPr>
          <w:rFonts w:ascii="Poppins" w:hAnsi="Poppins" w:cs="Poppins"/>
          <w:lang w:val="en-GB"/>
        </w:rPr>
        <w:t>ication of</w:t>
      </w:r>
      <w:r>
        <w:rPr>
          <w:rFonts w:ascii="Poppins" w:hAnsi="Poppins" w:cs="Poppins"/>
          <w:lang w:val="en-GB"/>
        </w:rPr>
        <w:t xml:space="preserve"> their value added to the consortium would be enough at this stage.</w:t>
      </w:r>
      <w:r w:rsidR="0086645B">
        <w:rPr>
          <w:rFonts w:ascii="Poppins" w:hAnsi="Poppins" w:cs="Poppins"/>
          <w:lang w:val="en-GB"/>
        </w:rPr>
        <w:t xml:space="preserve"> </w:t>
      </w:r>
    </w:p>
    <w:p w14:paraId="5E12DF4D" w14:textId="36A00EC6" w:rsidR="0086645B" w:rsidRPr="0063446C" w:rsidRDefault="00EA2985" w:rsidP="0063446C">
      <w:pPr>
        <w:pStyle w:val="ListParagraph"/>
        <w:numPr>
          <w:ilvl w:val="0"/>
          <w:numId w:val="2"/>
        </w:numPr>
        <w:tabs>
          <w:tab w:val="left" w:pos="1526"/>
        </w:tabs>
        <w:jc w:val="both"/>
        <w:rPr>
          <w:rFonts w:ascii="Poppins" w:hAnsi="Poppins" w:cs="Poppins"/>
          <w:i/>
          <w:iCs/>
          <w:lang w:val="en-GB"/>
        </w:rPr>
      </w:pPr>
      <w:r w:rsidRPr="0063446C">
        <w:rPr>
          <w:rFonts w:ascii="Poppins" w:hAnsi="Poppins" w:cs="Poppins"/>
          <w:i/>
          <w:iCs/>
          <w:lang w:val="en-GB"/>
        </w:rPr>
        <w:t>Are the current sub-recipients of other GCERF grants eligible to apply f</w:t>
      </w:r>
      <w:r w:rsidR="008E076A" w:rsidRPr="0063446C">
        <w:rPr>
          <w:rFonts w:ascii="Poppins" w:hAnsi="Poppins" w:cs="Poppins"/>
          <w:i/>
          <w:iCs/>
          <w:lang w:val="en-GB"/>
        </w:rPr>
        <w:t>or this call?</w:t>
      </w:r>
    </w:p>
    <w:p w14:paraId="75ED8E5C" w14:textId="5D4DD461" w:rsidR="008E076A" w:rsidRDefault="008E076A" w:rsidP="00E76432">
      <w:pPr>
        <w:tabs>
          <w:tab w:val="left" w:pos="1526"/>
        </w:tabs>
        <w:jc w:val="both"/>
        <w:rPr>
          <w:rFonts w:ascii="Poppins" w:hAnsi="Poppins" w:cs="Poppins"/>
          <w:lang w:val="en-GB"/>
        </w:rPr>
      </w:pPr>
      <w:r>
        <w:rPr>
          <w:rFonts w:ascii="Poppins" w:hAnsi="Poppins" w:cs="Poppins"/>
          <w:lang w:val="en-GB"/>
        </w:rPr>
        <w:t>Yes</w:t>
      </w:r>
    </w:p>
    <w:p w14:paraId="0DD98534" w14:textId="226D8385" w:rsidR="008E076A" w:rsidRPr="0063446C" w:rsidRDefault="006332A7" w:rsidP="0063446C">
      <w:pPr>
        <w:pStyle w:val="ListParagraph"/>
        <w:numPr>
          <w:ilvl w:val="0"/>
          <w:numId w:val="2"/>
        </w:numPr>
        <w:tabs>
          <w:tab w:val="left" w:pos="1526"/>
        </w:tabs>
        <w:jc w:val="both"/>
        <w:rPr>
          <w:rFonts w:ascii="Poppins" w:hAnsi="Poppins" w:cs="Poppins"/>
          <w:i/>
          <w:iCs/>
          <w:lang w:val="en-GB"/>
        </w:rPr>
      </w:pPr>
      <w:r w:rsidRPr="0063446C">
        <w:rPr>
          <w:rFonts w:ascii="Poppins" w:hAnsi="Poppins" w:cs="Poppins"/>
          <w:i/>
          <w:iCs/>
          <w:lang w:val="en-GB"/>
        </w:rPr>
        <w:t xml:space="preserve">Should the </w:t>
      </w:r>
      <w:r w:rsidR="008E076A" w:rsidRPr="0063446C">
        <w:rPr>
          <w:rFonts w:ascii="Poppins" w:hAnsi="Poppins" w:cs="Poppins"/>
          <w:i/>
          <w:iCs/>
          <w:lang w:val="en-GB"/>
        </w:rPr>
        <w:t xml:space="preserve">whole proposal </w:t>
      </w:r>
      <w:r w:rsidRPr="0063446C">
        <w:rPr>
          <w:rFonts w:ascii="Poppins" w:hAnsi="Poppins" w:cs="Poppins"/>
          <w:i/>
          <w:iCs/>
          <w:lang w:val="en-GB"/>
        </w:rPr>
        <w:t>be submitted now</w:t>
      </w:r>
      <w:r w:rsidR="008E076A" w:rsidRPr="0063446C">
        <w:rPr>
          <w:rFonts w:ascii="Poppins" w:hAnsi="Poppins" w:cs="Poppins"/>
          <w:i/>
          <w:iCs/>
          <w:lang w:val="en-GB"/>
        </w:rPr>
        <w:t>?</w:t>
      </w:r>
    </w:p>
    <w:p w14:paraId="7AEF24A9" w14:textId="2D6DD089" w:rsidR="006332A7" w:rsidRDefault="006332A7" w:rsidP="00E76432">
      <w:pPr>
        <w:tabs>
          <w:tab w:val="left" w:pos="1526"/>
        </w:tabs>
        <w:jc w:val="both"/>
        <w:rPr>
          <w:rFonts w:ascii="Poppins" w:hAnsi="Poppins" w:cs="Poppins"/>
          <w:lang w:val="en-GB"/>
        </w:rPr>
      </w:pPr>
      <w:r>
        <w:rPr>
          <w:rFonts w:ascii="Poppins" w:hAnsi="Poppins" w:cs="Poppins"/>
          <w:lang w:val="en-GB"/>
        </w:rPr>
        <w:t>At this stage, there is only a need to submit the Expression of Interest (</w:t>
      </w:r>
      <w:proofErr w:type="spellStart"/>
      <w:r>
        <w:rPr>
          <w:rFonts w:ascii="Poppins" w:hAnsi="Poppins" w:cs="Poppins"/>
          <w:lang w:val="en-GB"/>
        </w:rPr>
        <w:t>EoI</w:t>
      </w:r>
      <w:proofErr w:type="spellEnd"/>
      <w:r>
        <w:rPr>
          <w:rFonts w:ascii="Poppins" w:hAnsi="Poppins" w:cs="Poppins"/>
          <w:lang w:val="en-GB"/>
        </w:rPr>
        <w:t xml:space="preserve">) with requested documents. The call for </w:t>
      </w:r>
      <w:proofErr w:type="spellStart"/>
      <w:r>
        <w:rPr>
          <w:rFonts w:ascii="Poppins" w:hAnsi="Poppins" w:cs="Poppins"/>
          <w:lang w:val="en-GB"/>
        </w:rPr>
        <w:t>EoI</w:t>
      </w:r>
      <w:proofErr w:type="spellEnd"/>
      <w:r>
        <w:rPr>
          <w:rFonts w:ascii="Poppins" w:hAnsi="Poppins" w:cs="Poppins"/>
          <w:lang w:val="en-GB"/>
        </w:rPr>
        <w:t xml:space="preserve"> will be closed on the 1</w:t>
      </w:r>
      <w:r w:rsidRPr="006332A7">
        <w:rPr>
          <w:rFonts w:ascii="Poppins" w:hAnsi="Poppins" w:cs="Poppins"/>
          <w:vertAlign w:val="superscript"/>
          <w:lang w:val="en-GB"/>
        </w:rPr>
        <w:t>st</w:t>
      </w:r>
      <w:r>
        <w:rPr>
          <w:rFonts w:ascii="Poppins" w:hAnsi="Poppins" w:cs="Poppins"/>
          <w:lang w:val="en-GB"/>
        </w:rPr>
        <w:t xml:space="preserve"> of April, upon which </w:t>
      </w:r>
      <w:r>
        <w:rPr>
          <w:rFonts w:ascii="Poppins" w:hAnsi="Poppins" w:cs="Poppins"/>
          <w:lang w:val="en-GB"/>
        </w:rPr>
        <w:lastRenderedPageBreak/>
        <w:t>the GCERF secretariat and C</w:t>
      </w:r>
      <w:r w:rsidR="00FA4D5F">
        <w:rPr>
          <w:rFonts w:ascii="Poppins" w:hAnsi="Poppins" w:cs="Poppins"/>
          <w:lang w:val="en-GB"/>
        </w:rPr>
        <w:t>ountry Support Mechanism</w:t>
      </w:r>
      <w:r>
        <w:rPr>
          <w:rFonts w:ascii="Poppins" w:hAnsi="Poppins" w:cs="Poppins"/>
          <w:lang w:val="en-GB"/>
        </w:rPr>
        <w:t xml:space="preserve"> will start a preliminary review. Shortlisted candidates will go through a due diligence process.  Those having passed due diligence will be requested to submit a full proposal </w:t>
      </w:r>
      <w:r w:rsidRPr="006332A7">
        <w:rPr>
          <w:rFonts w:ascii="Poppins" w:hAnsi="Poppins" w:cs="Poppins"/>
          <w:lang w:val="en-GB"/>
        </w:rPr>
        <w:t xml:space="preserve">which includes a results framework, a detailed budget and workplan and other legal documents. </w:t>
      </w:r>
    </w:p>
    <w:p w14:paraId="3F70C61A" w14:textId="1C353562" w:rsidR="00FA4D5F" w:rsidRPr="0063446C" w:rsidRDefault="008E076A" w:rsidP="0063446C">
      <w:pPr>
        <w:pStyle w:val="ListParagraph"/>
        <w:numPr>
          <w:ilvl w:val="0"/>
          <w:numId w:val="2"/>
        </w:numPr>
        <w:tabs>
          <w:tab w:val="left" w:pos="1526"/>
        </w:tabs>
        <w:jc w:val="both"/>
        <w:rPr>
          <w:rFonts w:ascii="Poppins" w:hAnsi="Poppins" w:cs="Poppins"/>
          <w:i/>
          <w:iCs/>
          <w:lang w:val="en-GB"/>
        </w:rPr>
      </w:pPr>
      <w:r w:rsidRPr="0063446C">
        <w:rPr>
          <w:rFonts w:ascii="Poppins" w:hAnsi="Poppins" w:cs="Poppins"/>
          <w:i/>
          <w:iCs/>
          <w:lang w:val="en-GB"/>
        </w:rPr>
        <w:t xml:space="preserve">This year Kosovo will have a new </w:t>
      </w:r>
      <w:r w:rsidR="00FA4D5F" w:rsidRPr="0063446C">
        <w:rPr>
          <w:rFonts w:ascii="Poppins" w:hAnsi="Poppins" w:cs="Poppins"/>
          <w:i/>
          <w:iCs/>
          <w:lang w:val="en-GB"/>
        </w:rPr>
        <w:t>P</w:t>
      </w:r>
      <w:r w:rsidRPr="0063446C">
        <w:rPr>
          <w:rFonts w:ascii="Poppins" w:hAnsi="Poppins" w:cs="Poppins"/>
          <w:i/>
          <w:iCs/>
          <w:lang w:val="en-GB"/>
        </w:rPr>
        <w:t>CVE</w:t>
      </w:r>
      <w:r w:rsidR="00FA4D5F" w:rsidRPr="0063446C">
        <w:rPr>
          <w:rFonts w:ascii="Poppins" w:hAnsi="Poppins" w:cs="Poppins"/>
          <w:i/>
          <w:iCs/>
          <w:lang w:val="en-GB"/>
        </w:rPr>
        <w:t xml:space="preserve"> and CT</w:t>
      </w:r>
      <w:r w:rsidRPr="0063446C">
        <w:rPr>
          <w:rFonts w:ascii="Poppins" w:hAnsi="Poppins" w:cs="Poppins"/>
          <w:i/>
          <w:iCs/>
          <w:lang w:val="en-GB"/>
        </w:rPr>
        <w:t xml:space="preserve"> strategy</w:t>
      </w:r>
      <w:r w:rsidR="00565931" w:rsidRPr="0063446C">
        <w:rPr>
          <w:rFonts w:ascii="Poppins" w:hAnsi="Poppins" w:cs="Poppins"/>
          <w:i/>
          <w:iCs/>
          <w:lang w:val="en-GB"/>
        </w:rPr>
        <w:t xml:space="preserve">. </w:t>
      </w:r>
      <w:r w:rsidR="000D7BD8" w:rsidRPr="0063446C">
        <w:rPr>
          <w:rFonts w:ascii="Poppins" w:hAnsi="Poppins" w:cs="Poppins"/>
          <w:i/>
          <w:iCs/>
          <w:lang w:val="en-GB"/>
        </w:rPr>
        <w:t xml:space="preserve">Can the grant </w:t>
      </w:r>
      <w:r w:rsidR="00565931" w:rsidRPr="0063446C">
        <w:rPr>
          <w:rFonts w:ascii="Poppins" w:hAnsi="Poppins" w:cs="Poppins"/>
          <w:i/>
          <w:iCs/>
          <w:lang w:val="en-GB"/>
        </w:rPr>
        <w:t>support the dissemination of this strategy in the target municipalities, as well as engaging and facilitating dialogue with frontliners and other actors that will be involved in the implementation of the strategy</w:t>
      </w:r>
      <w:r w:rsidR="000D7BD8" w:rsidRPr="0063446C">
        <w:rPr>
          <w:rFonts w:ascii="Poppins" w:hAnsi="Poppins" w:cs="Poppins"/>
          <w:i/>
          <w:iCs/>
          <w:lang w:val="en-GB"/>
        </w:rPr>
        <w:t>?</w:t>
      </w:r>
    </w:p>
    <w:p w14:paraId="37F8CCD0" w14:textId="7CD153DE" w:rsidR="00FA4D5F" w:rsidRDefault="00FA4D5F" w:rsidP="00E76432">
      <w:pPr>
        <w:tabs>
          <w:tab w:val="left" w:pos="1526"/>
        </w:tabs>
        <w:jc w:val="both"/>
        <w:rPr>
          <w:rFonts w:ascii="Poppins" w:hAnsi="Poppins" w:cs="Poppins"/>
          <w:lang w:val="en-GB"/>
        </w:rPr>
      </w:pPr>
      <w:r>
        <w:rPr>
          <w:rFonts w:ascii="Poppins" w:hAnsi="Poppins" w:cs="Poppins"/>
          <w:lang w:val="en-GB"/>
        </w:rPr>
        <w:t xml:space="preserve">GCERF considers it important that local </w:t>
      </w:r>
      <w:r>
        <w:rPr>
          <w:rFonts w:ascii="Poppins" w:hAnsi="Poppins" w:cs="Poppins"/>
          <w:lang w:val="en-GB"/>
        </w:rPr>
        <w:t>organisations are involved in this programming</w:t>
      </w:r>
      <w:r>
        <w:rPr>
          <w:rFonts w:ascii="Poppins" w:hAnsi="Poppins" w:cs="Poppins"/>
          <w:lang w:val="en-GB"/>
        </w:rPr>
        <w:t xml:space="preserve">. </w:t>
      </w:r>
      <w:r w:rsidR="000D7BD8">
        <w:rPr>
          <w:rFonts w:ascii="Poppins" w:hAnsi="Poppins" w:cs="Poppins"/>
          <w:lang w:val="en-GB"/>
        </w:rPr>
        <w:t>It</w:t>
      </w:r>
      <w:r>
        <w:rPr>
          <w:rFonts w:ascii="Poppins" w:hAnsi="Poppins" w:cs="Poppins"/>
          <w:lang w:val="en-GB"/>
        </w:rPr>
        <w:t xml:space="preserve"> may also mean that part of</w:t>
      </w:r>
      <w:r w:rsidR="000D7BD8">
        <w:rPr>
          <w:rFonts w:ascii="Poppins" w:hAnsi="Poppins" w:cs="Poppins"/>
          <w:lang w:val="en-GB"/>
        </w:rPr>
        <w:t xml:space="preserve"> the</w:t>
      </w:r>
      <w:r>
        <w:rPr>
          <w:rFonts w:ascii="Poppins" w:hAnsi="Poppins" w:cs="Poppins"/>
          <w:lang w:val="en-GB"/>
        </w:rPr>
        <w:t xml:space="preserve"> funding </w:t>
      </w:r>
      <w:r w:rsidR="000D7BD8">
        <w:rPr>
          <w:rFonts w:ascii="Poppins" w:hAnsi="Poppins" w:cs="Poppins"/>
          <w:lang w:val="en-GB"/>
        </w:rPr>
        <w:t>can</w:t>
      </w:r>
      <w:r>
        <w:rPr>
          <w:rFonts w:ascii="Poppins" w:hAnsi="Poppins" w:cs="Poppins"/>
          <w:lang w:val="en-GB"/>
        </w:rPr>
        <w:t xml:space="preserve"> be used to disseminate strategy through the local org</w:t>
      </w:r>
      <w:r w:rsidR="000D7BD8">
        <w:rPr>
          <w:rFonts w:ascii="Poppins" w:hAnsi="Poppins" w:cs="Poppins"/>
          <w:lang w:val="en-GB"/>
        </w:rPr>
        <w:t>anisations</w:t>
      </w:r>
      <w:r>
        <w:rPr>
          <w:rFonts w:ascii="Poppins" w:hAnsi="Poppins" w:cs="Poppins"/>
          <w:lang w:val="en-GB"/>
        </w:rPr>
        <w:t xml:space="preserve"> or to get better engagement and ensure success of multidisciplinary teams</w:t>
      </w:r>
      <w:r w:rsidR="000D7BD8">
        <w:rPr>
          <w:rFonts w:ascii="Poppins" w:hAnsi="Poppins" w:cs="Poppins"/>
          <w:lang w:val="en-GB"/>
        </w:rPr>
        <w:t>.</w:t>
      </w:r>
    </w:p>
    <w:p w14:paraId="4C236B06" w14:textId="17998274" w:rsidR="00565931" w:rsidRPr="0063446C" w:rsidRDefault="00565931" w:rsidP="0063446C">
      <w:pPr>
        <w:pStyle w:val="ListParagraph"/>
        <w:numPr>
          <w:ilvl w:val="0"/>
          <w:numId w:val="2"/>
        </w:numPr>
        <w:tabs>
          <w:tab w:val="left" w:pos="1526"/>
        </w:tabs>
        <w:jc w:val="both"/>
        <w:rPr>
          <w:rFonts w:ascii="Poppins" w:hAnsi="Poppins" w:cs="Poppins"/>
          <w:i/>
          <w:iCs/>
          <w:lang w:val="en-GB"/>
        </w:rPr>
      </w:pPr>
      <w:r w:rsidRPr="0063446C">
        <w:rPr>
          <w:rFonts w:ascii="Poppins" w:hAnsi="Poppins" w:cs="Poppins"/>
          <w:i/>
          <w:iCs/>
          <w:lang w:val="en-GB"/>
        </w:rPr>
        <w:t>Are we allowed to work directly with returnees?</w:t>
      </w:r>
    </w:p>
    <w:p w14:paraId="2D464D25" w14:textId="5780B0B6" w:rsidR="000D7BD8" w:rsidRDefault="000D7BD8" w:rsidP="00E76432">
      <w:pPr>
        <w:tabs>
          <w:tab w:val="left" w:pos="1526"/>
        </w:tabs>
        <w:jc w:val="both"/>
        <w:rPr>
          <w:rFonts w:ascii="Poppins" w:hAnsi="Poppins" w:cs="Poppins"/>
          <w:lang w:val="en-GB"/>
        </w:rPr>
      </w:pPr>
      <w:r>
        <w:rPr>
          <w:rFonts w:ascii="Poppins" w:hAnsi="Poppins" w:cs="Poppins"/>
          <w:lang w:val="en-GB"/>
        </w:rPr>
        <w:t>GCERF doesn´t</w:t>
      </w:r>
      <w:r w:rsidR="00565931">
        <w:rPr>
          <w:rFonts w:ascii="Poppins" w:hAnsi="Poppins" w:cs="Poppins"/>
          <w:lang w:val="en-GB"/>
        </w:rPr>
        <w:t xml:space="preserve"> have any restrictions on working with returnees directly. </w:t>
      </w:r>
      <w:r>
        <w:rPr>
          <w:rFonts w:ascii="Poppins" w:hAnsi="Poppins" w:cs="Poppins"/>
          <w:lang w:val="en-GB"/>
        </w:rPr>
        <w:t>However, i</w:t>
      </w:r>
      <w:r w:rsidR="00B40F53">
        <w:rPr>
          <w:rFonts w:ascii="Poppins" w:hAnsi="Poppins" w:cs="Poppins"/>
          <w:lang w:val="en-GB"/>
        </w:rPr>
        <w:t>t is advised to consider sustainable solutions in such programming.</w:t>
      </w:r>
    </w:p>
    <w:p w14:paraId="631109A0" w14:textId="7F081AE4" w:rsidR="00471A6B" w:rsidRDefault="00471A6B" w:rsidP="00E76432">
      <w:pPr>
        <w:tabs>
          <w:tab w:val="left" w:pos="1526"/>
        </w:tabs>
        <w:jc w:val="both"/>
        <w:rPr>
          <w:rFonts w:ascii="Poppins" w:hAnsi="Poppins" w:cs="Poppins"/>
          <w:lang w:val="en-GB"/>
        </w:rPr>
      </w:pPr>
    </w:p>
    <w:p w14:paraId="40D08429" w14:textId="2AC5CE34" w:rsidR="00150125" w:rsidRDefault="00150125" w:rsidP="00E76432">
      <w:pPr>
        <w:tabs>
          <w:tab w:val="left" w:pos="1526"/>
        </w:tabs>
        <w:jc w:val="both"/>
        <w:rPr>
          <w:rFonts w:ascii="Poppins" w:hAnsi="Poppins" w:cs="Poppins"/>
          <w:lang w:val="en-GB"/>
        </w:rPr>
      </w:pPr>
      <w:r>
        <w:rPr>
          <w:rFonts w:ascii="Poppins" w:hAnsi="Poppins" w:cs="Poppins"/>
          <w:lang w:val="en-GB"/>
        </w:rPr>
        <w:t xml:space="preserve">In case of other questions, please contact </w:t>
      </w:r>
      <w:hyperlink r:id="rId8" w:history="1">
        <w:r w:rsidRPr="000260E2">
          <w:rPr>
            <w:rStyle w:val="Hyperlink"/>
            <w:rFonts w:ascii="Poppins" w:hAnsi="Poppins" w:cs="Poppins"/>
            <w:lang w:val="en-GB"/>
          </w:rPr>
          <w:t>call.westernbalkans</w:t>
        </w:r>
        <w:r w:rsidRPr="000260E2">
          <w:rPr>
            <w:rStyle w:val="Hyperlink"/>
            <w:rFonts w:ascii="Poppins" w:hAnsi="Poppins" w:cs="Poppins"/>
            <w:lang w:val="en-GB"/>
          </w:rPr>
          <w:t>@</w:t>
        </w:r>
        <w:r w:rsidRPr="000260E2">
          <w:rPr>
            <w:rStyle w:val="Hyperlink"/>
            <w:rFonts w:ascii="Poppins" w:hAnsi="Poppins" w:cs="Poppins"/>
            <w:lang w:val="en-GB"/>
          </w:rPr>
          <w:t>gcerf.org</w:t>
        </w:r>
      </w:hyperlink>
      <w:r>
        <w:rPr>
          <w:rFonts w:ascii="Poppins" w:hAnsi="Poppins" w:cs="Poppins"/>
          <w:lang w:val="en-GB"/>
        </w:rPr>
        <w:t xml:space="preserve"> </w:t>
      </w:r>
    </w:p>
    <w:p w14:paraId="4F9670AF" w14:textId="77777777" w:rsidR="00471A6B" w:rsidRPr="008E076A" w:rsidRDefault="00471A6B" w:rsidP="00E76432">
      <w:pPr>
        <w:tabs>
          <w:tab w:val="left" w:pos="1526"/>
        </w:tabs>
        <w:jc w:val="both"/>
        <w:rPr>
          <w:rFonts w:ascii="Poppins" w:hAnsi="Poppins" w:cs="Poppins"/>
          <w:lang w:val="en-GB"/>
        </w:rPr>
      </w:pPr>
    </w:p>
    <w:p w14:paraId="3AAA46D3" w14:textId="77777777" w:rsidR="008E076A" w:rsidRDefault="008E076A" w:rsidP="00E76432">
      <w:pPr>
        <w:tabs>
          <w:tab w:val="left" w:pos="1526"/>
        </w:tabs>
        <w:jc w:val="both"/>
        <w:rPr>
          <w:rFonts w:ascii="Poppins" w:hAnsi="Poppins" w:cs="Poppins"/>
          <w:lang w:val="en-GB"/>
        </w:rPr>
      </w:pPr>
    </w:p>
    <w:p w14:paraId="18843340" w14:textId="77777777" w:rsidR="00A4324E" w:rsidRPr="00A4324E" w:rsidRDefault="00A4324E" w:rsidP="00E76432">
      <w:pPr>
        <w:tabs>
          <w:tab w:val="left" w:pos="1526"/>
        </w:tabs>
        <w:jc w:val="both"/>
        <w:rPr>
          <w:rFonts w:ascii="Poppins" w:hAnsi="Poppins" w:cs="Poppins"/>
          <w:lang w:val="en-GB"/>
        </w:rPr>
      </w:pPr>
    </w:p>
    <w:sectPr w:rsidR="00A4324E" w:rsidRPr="00A432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AE0E" w14:textId="77777777" w:rsidR="00431527" w:rsidRDefault="00431527" w:rsidP="0006624A">
      <w:pPr>
        <w:spacing w:after="0" w:line="240" w:lineRule="auto"/>
      </w:pPr>
      <w:r>
        <w:separator/>
      </w:r>
    </w:p>
  </w:endnote>
  <w:endnote w:type="continuationSeparator" w:id="0">
    <w:p w14:paraId="19D86466" w14:textId="77777777" w:rsidR="00431527" w:rsidRDefault="00431527" w:rsidP="0006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21C5" w14:textId="77777777" w:rsidR="00431527" w:rsidRDefault="00431527" w:rsidP="0006624A">
      <w:pPr>
        <w:spacing w:after="0" w:line="240" w:lineRule="auto"/>
      </w:pPr>
      <w:r>
        <w:separator/>
      </w:r>
    </w:p>
  </w:footnote>
  <w:footnote w:type="continuationSeparator" w:id="0">
    <w:p w14:paraId="29ECE50B" w14:textId="77777777" w:rsidR="00431527" w:rsidRDefault="00431527" w:rsidP="0006624A">
      <w:pPr>
        <w:spacing w:after="0" w:line="240" w:lineRule="auto"/>
      </w:pPr>
      <w:r>
        <w:continuationSeparator/>
      </w:r>
    </w:p>
  </w:footnote>
  <w:footnote w:id="1">
    <w:p w14:paraId="0DFF5D8F" w14:textId="77777777" w:rsidR="0006624A" w:rsidRPr="007716FD" w:rsidRDefault="0006624A" w:rsidP="00A4324E">
      <w:pPr>
        <w:pStyle w:val="FootnoteText"/>
        <w:jc w:val="both"/>
        <w:rPr>
          <w:rFonts w:ascii="Poppins" w:hAnsi="Poppins" w:cs="Poppins"/>
          <w:i/>
          <w:iCs/>
          <w:sz w:val="14"/>
          <w:szCs w:val="14"/>
        </w:rPr>
      </w:pPr>
      <w:r w:rsidRPr="007716FD">
        <w:rPr>
          <w:rStyle w:val="FootnoteReference"/>
          <w:rFonts w:ascii="Poppins" w:hAnsi="Poppins" w:cs="Poppins"/>
          <w:i/>
          <w:iCs/>
          <w:sz w:val="14"/>
          <w:szCs w:val="14"/>
        </w:rPr>
        <w:footnoteRef/>
      </w:r>
      <w:r w:rsidRPr="007716FD">
        <w:rPr>
          <w:rFonts w:ascii="Poppins" w:hAnsi="Poppins" w:cs="Poppins"/>
          <w:i/>
          <w:iCs/>
          <w:sz w:val="14"/>
          <w:szCs w:val="14"/>
        </w:rPr>
        <w:t xml:space="preserve"> Foreign terrorist fighters are defined by UN-Sec Council </w:t>
      </w:r>
      <w:proofErr w:type="spellStart"/>
      <w:r w:rsidRPr="007716FD">
        <w:rPr>
          <w:rFonts w:ascii="Poppins" w:hAnsi="Poppins" w:cs="Poppins"/>
          <w:i/>
          <w:iCs/>
          <w:sz w:val="14"/>
          <w:szCs w:val="14"/>
        </w:rPr>
        <w:t>Counterrorsim</w:t>
      </w:r>
      <w:proofErr w:type="spellEnd"/>
      <w:r w:rsidRPr="007716FD">
        <w:rPr>
          <w:rFonts w:ascii="Poppins" w:hAnsi="Poppins" w:cs="Poppins"/>
          <w:i/>
          <w:iCs/>
          <w:sz w:val="14"/>
          <w:szCs w:val="14"/>
        </w:rPr>
        <w:t xml:space="preserve"> Committee as individuals who travel to a State other than their State of residence or nationality for the purpose of the perpetration, planning or preparation of, or participation in, terrorist acts or the providing or receiving of terrorist training, including in connection with armed conflict”.  </w:t>
      </w:r>
      <w:hyperlink r:id="rId1" w:history="1">
        <w:r w:rsidRPr="007716FD">
          <w:rPr>
            <w:rStyle w:val="Hyperlink"/>
            <w:rFonts w:ascii="Poppins" w:hAnsi="Poppins" w:cs="Poppins"/>
            <w:i/>
            <w:iCs/>
            <w:sz w:val="14"/>
            <w:szCs w:val="14"/>
          </w:rPr>
          <w:t>https://www.un.org/sc/ctc/focus-areas/foreign-terrorist-fighters/</w:t>
        </w:r>
      </w:hyperlink>
      <w:r w:rsidRPr="007716FD">
        <w:rPr>
          <w:rFonts w:ascii="Poppins" w:hAnsi="Poppins" w:cs="Poppins"/>
          <w:i/>
          <w:iCs/>
          <w:sz w:val="14"/>
          <w:szCs w:val="14"/>
        </w:rPr>
        <w:t xml:space="preserve">  RFTFs therefore refer to men those who have returned or been repatriated to their country of citizenship.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B1E13"/>
    <w:multiLevelType w:val="hybridMultilevel"/>
    <w:tmpl w:val="F216B646"/>
    <w:lvl w:ilvl="0" w:tplc="14742B6C">
      <w:start w:val="1"/>
      <w:numFmt w:val="bullet"/>
      <w:lvlText w:val="•"/>
      <w:lvlJc w:val="left"/>
      <w:pPr>
        <w:tabs>
          <w:tab w:val="num" w:pos="720"/>
        </w:tabs>
        <w:ind w:left="720" w:hanging="360"/>
      </w:pPr>
      <w:rPr>
        <w:rFonts w:ascii="Arial" w:hAnsi="Arial" w:hint="default"/>
      </w:rPr>
    </w:lvl>
    <w:lvl w:ilvl="1" w:tplc="3A7ACE5A" w:tentative="1">
      <w:start w:val="1"/>
      <w:numFmt w:val="bullet"/>
      <w:lvlText w:val="•"/>
      <w:lvlJc w:val="left"/>
      <w:pPr>
        <w:tabs>
          <w:tab w:val="num" w:pos="1440"/>
        </w:tabs>
        <w:ind w:left="1440" w:hanging="360"/>
      </w:pPr>
      <w:rPr>
        <w:rFonts w:ascii="Arial" w:hAnsi="Arial" w:hint="default"/>
      </w:rPr>
    </w:lvl>
    <w:lvl w:ilvl="2" w:tplc="01682D78" w:tentative="1">
      <w:start w:val="1"/>
      <w:numFmt w:val="bullet"/>
      <w:lvlText w:val="•"/>
      <w:lvlJc w:val="left"/>
      <w:pPr>
        <w:tabs>
          <w:tab w:val="num" w:pos="2160"/>
        </w:tabs>
        <w:ind w:left="2160" w:hanging="360"/>
      </w:pPr>
      <w:rPr>
        <w:rFonts w:ascii="Arial" w:hAnsi="Arial" w:hint="default"/>
      </w:rPr>
    </w:lvl>
    <w:lvl w:ilvl="3" w:tplc="CB7000B2" w:tentative="1">
      <w:start w:val="1"/>
      <w:numFmt w:val="bullet"/>
      <w:lvlText w:val="•"/>
      <w:lvlJc w:val="left"/>
      <w:pPr>
        <w:tabs>
          <w:tab w:val="num" w:pos="2880"/>
        </w:tabs>
        <w:ind w:left="2880" w:hanging="360"/>
      </w:pPr>
      <w:rPr>
        <w:rFonts w:ascii="Arial" w:hAnsi="Arial" w:hint="default"/>
      </w:rPr>
    </w:lvl>
    <w:lvl w:ilvl="4" w:tplc="22660E76" w:tentative="1">
      <w:start w:val="1"/>
      <w:numFmt w:val="bullet"/>
      <w:lvlText w:val="•"/>
      <w:lvlJc w:val="left"/>
      <w:pPr>
        <w:tabs>
          <w:tab w:val="num" w:pos="3600"/>
        </w:tabs>
        <w:ind w:left="3600" w:hanging="360"/>
      </w:pPr>
      <w:rPr>
        <w:rFonts w:ascii="Arial" w:hAnsi="Arial" w:hint="default"/>
      </w:rPr>
    </w:lvl>
    <w:lvl w:ilvl="5" w:tplc="25B03FF4" w:tentative="1">
      <w:start w:val="1"/>
      <w:numFmt w:val="bullet"/>
      <w:lvlText w:val="•"/>
      <w:lvlJc w:val="left"/>
      <w:pPr>
        <w:tabs>
          <w:tab w:val="num" w:pos="4320"/>
        </w:tabs>
        <w:ind w:left="4320" w:hanging="360"/>
      </w:pPr>
      <w:rPr>
        <w:rFonts w:ascii="Arial" w:hAnsi="Arial" w:hint="default"/>
      </w:rPr>
    </w:lvl>
    <w:lvl w:ilvl="6" w:tplc="F62C9950" w:tentative="1">
      <w:start w:val="1"/>
      <w:numFmt w:val="bullet"/>
      <w:lvlText w:val="•"/>
      <w:lvlJc w:val="left"/>
      <w:pPr>
        <w:tabs>
          <w:tab w:val="num" w:pos="5040"/>
        </w:tabs>
        <w:ind w:left="5040" w:hanging="360"/>
      </w:pPr>
      <w:rPr>
        <w:rFonts w:ascii="Arial" w:hAnsi="Arial" w:hint="default"/>
      </w:rPr>
    </w:lvl>
    <w:lvl w:ilvl="7" w:tplc="2060680A" w:tentative="1">
      <w:start w:val="1"/>
      <w:numFmt w:val="bullet"/>
      <w:lvlText w:val="•"/>
      <w:lvlJc w:val="left"/>
      <w:pPr>
        <w:tabs>
          <w:tab w:val="num" w:pos="5760"/>
        </w:tabs>
        <w:ind w:left="5760" w:hanging="360"/>
      </w:pPr>
      <w:rPr>
        <w:rFonts w:ascii="Arial" w:hAnsi="Arial" w:hint="default"/>
      </w:rPr>
    </w:lvl>
    <w:lvl w:ilvl="8" w:tplc="E49A93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8F63BE7"/>
    <w:multiLevelType w:val="hybridMultilevel"/>
    <w:tmpl w:val="6F1877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13359297">
    <w:abstractNumId w:val="0"/>
  </w:num>
  <w:num w:numId="2" w16cid:durableId="54475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D1"/>
    <w:rsid w:val="00023EE6"/>
    <w:rsid w:val="0006624A"/>
    <w:rsid w:val="000D7BD8"/>
    <w:rsid w:val="00150125"/>
    <w:rsid w:val="001A11A6"/>
    <w:rsid w:val="0036068A"/>
    <w:rsid w:val="004075D1"/>
    <w:rsid w:val="00431527"/>
    <w:rsid w:val="00471A6B"/>
    <w:rsid w:val="005513C9"/>
    <w:rsid w:val="005546BC"/>
    <w:rsid w:val="00565931"/>
    <w:rsid w:val="006332A7"/>
    <w:rsid w:val="0063446C"/>
    <w:rsid w:val="00754F62"/>
    <w:rsid w:val="007C7EA2"/>
    <w:rsid w:val="0086645B"/>
    <w:rsid w:val="008E076A"/>
    <w:rsid w:val="00925ED9"/>
    <w:rsid w:val="009954BE"/>
    <w:rsid w:val="00A4324E"/>
    <w:rsid w:val="00B40F53"/>
    <w:rsid w:val="00D23A1D"/>
    <w:rsid w:val="00E76432"/>
    <w:rsid w:val="00EA2985"/>
    <w:rsid w:val="00EC59D7"/>
    <w:rsid w:val="00EE4A45"/>
    <w:rsid w:val="00FA4D5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63A0"/>
  <w15:chartTrackingRefBased/>
  <w15:docId w15:val="{37366CC2-632C-4E34-90CF-233D0E7E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624A"/>
    <w:rPr>
      <w:color w:val="0563C1"/>
      <w:u w:val="single"/>
    </w:rPr>
  </w:style>
  <w:style w:type="paragraph" w:styleId="FootnoteText">
    <w:name w:val="footnote text"/>
    <w:basedOn w:val="Normal"/>
    <w:link w:val="FootnoteTextChar"/>
    <w:unhideWhenUsed/>
    <w:rsid w:val="0006624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06624A"/>
    <w:rPr>
      <w:rFonts w:ascii="Times New Roman" w:eastAsia="Times New Roman" w:hAnsi="Times New Roman" w:cs="Times New Roman"/>
      <w:sz w:val="20"/>
      <w:szCs w:val="20"/>
      <w:lang w:val="en-GB"/>
    </w:rPr>
  </w:style>
  <w:style w:type="character" w:styleId="FootnoteReference">
    <w:name w:val="footnote reference"/>
    <w:unhideWhenUsed/>
    <w:rsid w:val="0006624A"/>
    <w:rPr>
      <w:vertAlign w:val="superscript"/>
    </w:rPr>
  </w:style>
  <w:style w:type="character" w:styleId="Strong">
    <w:name w:val="Strong"/>
    <w:basedOn w:val="DefaultParagraphFont"/>
    <w:uiPriority w:val="22"/>
    <w:qFormat/>
    <w:rsid w:val="00471A6B"/>
    <w:rPr>
      <w:b/>
      <w:bCs/>
    </w:rPr>
  </w:style>
  <w:style w:type="character" w:styleId="UnresolvedMention">
    <w:name w:val="Unresolved Mention"/>
    <w:basedOn w:val="DefaultParagraphFont"/>
    <w:uiPriority w:val="99"/>
    <w:semiHidden/>
    <w:unhideWhenUsed/>
    <w:rsid w:val="00150125"/>
    <w:rPr>
      <w:color w:val="605E5C"/>
      <w:shd w:val="clear" w:color="auto" w:fill="E1DFDD"/>
    </w:rPr>
  </w:style>
  <w:style w:type="paragraph" w:styleId="ListParagraph">
    <w:name w:val="List Paragraph"/>
    <w:basedOn w:val="Normal"/>
    <w:uiPriority w:val="34"/>
    <w:qFormat/>
    <w:rsid w:val="0063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0064">
      <w:bodyDiv w:val="1"/>
      <w:marLeft w:val="0"/>
      <w:marRight w:val="0"/>
      <w:marTop w:val="0"/>
      <w:marBottom w:val="0"/>
      <w:divBdr>
        <w:top w:val="none" w:sz="0" w:space="0" w:color="auto"/>
        <w:left w:val="none" w:sz="0" w:space="0" w:color="auto"/>
        <w:bottom w:val="none" w:sz="0" w:space="0" w:color="auto"/>
        <w:right w:val="none" w:sz="0" w:space="0" w:color="auto"/>
      </w:divBdr>
    </w:div>
    <w:div w:id="743457388">
      <w:bodyDiv w:val="1"/>
      <w:marLeft w:val="0"/>
      <w:marRight w:val="0"/>
      <w:marTop w:val="0"/>
      <w:marBottom w:val="0"/>
      <w:divBdr>
        <w:top w:val="none" w:sz="0" w:space="0" w:color="auto"/>
        <w:left w:val="none" w:sz="0" w:space="0" w:color="auto"/>
        <w:bottom w:val="none" w:sz="0" w:space="0" w:color="auto"/>
        <w:right w:val="none" w:sz="0" w:space="0" w:color="auto"/>
      </w:divBdr>
      <w:divsChild>
        <w:div w:id="62290289">
          <w:marLeft w:val="1800"/>
          <w:marRight w:val="0"/>
          <w:marTop w:val="0"/>
          <w:marBottom w:val="360"/>
          <w:divBdr>
            <w:top w:val="none" w:sz="0" w:space="0" w:color="auto"/>
            <w:left w:val="none" w:sz="0" w:space="0" w:color="auto"/>
            <w:bottom w:val="none" w:sz="0" w:space="0" w:color="auto"/>
            <w:right w:val="none" w:sz="0" w:space="0" w:color="auto"/>
          </w:divBdr>
        </w:div>
        <w:div w:id="1933393672">
          <w:marLeft w:val="1800"/>
          <w:marRight w:val="0"/>
          <w:marTop w:val="0"/>
          <w:marBottom w:val="360"/>
          <w:divBdr>
            <w:top w:val="none" w:sz="0" w:space="0" w:color="auto"/>
            <w:left w:val="none" w:sz="0" w:space="0" w:color="auto"/>
            <w:bottom w:val="none" w:sz="0" w:space="0" w:color="auto"/>
            <w:right w:val="none" w:sz="0" w:space="0" w:color="auto"/>
          </w:divBdr>
        </w:div>
        <w:div w:id="188446766">
          <w:marLeft w:val="180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l.westernbalkans@gcerf.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c/ctc/focus-areas/foreign-terrorist-figh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Alsu Akmetdinova</dc:creator>
  <cp:keywords/>
  <dc:description/>
  <cp:lastModifiedBy>Alsu Akmetdinova</cp:lastModifiedBy>
  <cp:revision>22</cp:revision>
  <dcterms:created xsi:type="dcterms:W3CDTF">2023-03-02T11:32:00Z</dcterms:created>
  <dcterms:modified xsi:type="dcterms:W3CDTF">2023-03-02T15:23:00Z</dcterms:modified>
</cp:coreProperties>
</file>