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057C9" w14:textId="4B035CBA" w:rsidR="006928EF" w:rsidRPr="00266BEF" w:rsidRDefault="006928EF" w:rsidP="006928EF">
      <w:pPr>
        <w:spacing w:after="120" w:line="240" w:lineRule="auto"/>
        <w:jc w:val="center"/>
        <w:rPr>
          <w:rFonts w:ascii="Poppins" w:eastAsia="Calibri" w:hAnsi="Poppins" w:cs="Poppins"/>
          <w:b/>
          <w:bCs/>
          <w:lang w:val="fr-FR"/>
        </w:rPr>
      </w:pPr>
      <w:r w:rsidRPr="00266BEF">
        <w:rPr>
          <w:rFonts w:ascii="Poppins" w:eastAsia="Calibri" w:hAnsi="Poppins" w:cs="Poppins"/>
          <w:b/>
          <w:lang w:val="fr-FR" w:bidi="fr-FR"/>
        </w:rPr>
        <w:t>APPEL À MANIFESTATION D’INTÉRÊT EN TUNISIE</w:t>
      </w:r>
    </w:p>
    <w:p w14:paraId="5D6B7146" w14:textId="7A8CCB59" w:rsidR="006928EF" w:rsidRPr="00266BEF" w:rsidRDefault="006928EF" w:rsidP="006928EF">
      <w:pPr>
        <w:jc w:val="center"/>
        <w:rPr>
          <w:rFonts w:ascii="Poppins" w:eastAsia="Calibri" w:hAnsi="Poppins" w:cs="Poppins"/>
          <w:b/>
          <w:lang w:val="fr-FR" w:bidi="fr-FR"/>
        </w:rPr>
      </w:pPr>
      <w:r w:rsidRPr="00266BEF">
        <w:rPr>
          <w:rFonts w:ascii="Poppins" w:eastAsia="Calibri" w:hAnsi="Poppins" w:cs="Poppins"/>
          <w:b/>
          <w:lang w:val="fr-FR" w:bidi="fr-FR"/>
        </w:rPr>
        <w:t>FINANCEMENTS D</w:t>
      </w:r>
      <w:r w:rsidR="00923DEE">
        <w:rPr>
          <w:rFonts w:ascii="Poppins" w:eastAsia="Calibri" w:hAnsi="Poppins" w:cs="Poppins"/>
          <w:b/>
          <w:lang w:val="fr-FR" w:bidi="fr-FR"/>
        </w:rPr>
        <w:t xml:space="preserve">E </w:t>
      </w:r>
      <w:r w:rsidRPr="00266BEF">
        <w:rPr>
          <w:rFonts w:ascii="Poppins" w:eastAsia="Calibri" w:hAnsi="Poppins" w:cs="Poppins"/>
          <w:b/>
          <w:lang w:val="fr-FR" w:bidi="fr-FR"/>
        </w:rPr>
        <w:t>GCERF</w:t>
      </w:r>
    </w:p>
    <w:p w14:paraId="7DE57D84" w14:textId="77777777" w:rsidR="006928EF" w:rsidRPr="00266BEF" w:rsidRDefault="006928EF" w:rsidP="006928EF">
      <w:pPr>
        <w:jc w:val="center"/>
        <w:rPr>
          <w:rFonts w:ascii="Poppins" w:hAnsi="Poppins" w:cs="Poppins"/>
          <w:b/>
          <w:bCs/>
          <w:lang w:val="fr-FR"/>
        </w:rPr>
      </w:pPr>
      <w:r w:rsidRPr="00266BEF">
        <w:rPr>
          <w:rFonts w:ascii="Poppins" w:hAnsi="Poppins" w:cs="Poppins"/>
          <w:noProof/>
          <w:lang w:val="fr-FR" w:eastAsia="fr-FR"/>
        </w:rPr>
        <mc:AlternateContent>
          <mc:Choice Requires="wps">
            <w:drawing>
              <wp:anchor distT="4294967295" distB="4294967295" distL="114300" distR="114300" simplePos="0" relativeHeight="251659264" behindDoc="0" locked="0" layoutInCell="1" allowOverlap="1" wp14:anchorId="5D239D47" wp14:editId="3A558D27">
                <wp:simplePos x="0" y="0"/>
                <wp:positionH relativeFrom="margin">
                  <wp:posOffset>88265</wp:posOffset>
                </wp:positionH>
                <wp:positionV relativeFrom="paragraph">
                  <wp:posOffset>115570</wp:posOffset>
                </wp:positionV>
                <wp:extent cx="5702300" cy="0"/>
                <wp:effectExtent l="38100" t="38100" r="50800" b="762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023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C9C85E7"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6.95pt,9.1pt" to="455.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" strokecolor="#4f81bd" strokeweight="2pt">
                <v:shadow on="t" color="black" opacity="24903f" origin=",.5" offset="0,.55556mm"/>
                <o:lock v:ext="edit" shapetype="f"/>
                <w10:wrap anchorx="margin"/>
              </v:line>
            </w:pict>
          </mc:Fallback>
        </mc:AlternateContent>
      </w:r>
    </w:p>
    <w:p w14:paraId="5F5883A2" w14:textId="6F29E67B" w:rsidR="00CC42F9" w:rsidRPr="00266BEF" w:rsidRDefault="006928EF" w:rsidP="00A24F9D">
      <w:pPr>
        <w:jc w:val="center"/>
        <w:rPr>
          <w:rFonts w:ascii="Poppins" w:hAnsi="Poppins" w:cs="Poppins"/>
          <w:sz w:val="20"/>
          <w:szCs w:val="20"/>
          <w:lang w:val="fr-FR" w:bidi="fr-FR"/>
        </w:rPr>
      </w:pPr>
      <w:r w:rsidRPr="00266BEF">
        <w:rPr>
          <w:rFonts w:ascii="Poppins" w:hAnsi="Poppins" w:cs="Poppins"/>
          <w:sz w:val="20"/>
          <w:szCs w:val="20"/>
          <w:lang w:val="fr-FR" w:bidi="fr-FR"/>
        </w:rPr>
        <w:t xml:space="preserve">Le Fonds mondial pour l’engagement de la communauté et la résilience (en anglais Global Community Engagement and </w:t>
      </w:r>
      <w:proofErr w:type="spellStart"/>
      <w:r w:rsidRPr="00266BEF">
        <w:rPr>
          <w:rFonts w:ascii="Poppins" w:hAnsi="Poppins" w:cs="Poppins"/>
          <w:sz w:val="20"/>
          <w:szCs w:val="20"/>
          <w:lang w:val="fr-FR" w:bidi="fr-FR"/>
        </w:rPr>
        <w:t>Resilience</w:t>
      </w:r>
      <w:proofErr w:type="spellEnd"/>
      <w:r w:rsidRPr="00266BEF">
        <w:rPr>
          <w:rFonts w:ascii="Poppins" w:hAnsi="Poppins" w:cs="Poppins"/>
          <w:sz w:val="20"/>
          <w:szCs w:val="20"/>
          <w:lang w:val="fr-FR" w:bidi="fr-FR"/>
        </w:rPr>
        <w:t xml:space="preserve"> </w:t>
      </w:r>
      <w:proofErr w:type="spellStart"/>
      <w:r w:rsidRPr="00266BEF">
        <w:rPr>
          <w:rFonts w:ascii="Poppins" w:hAnsi="Poppins" w:cs="Poppins"/>
          <w:sz w:val="20"/>
          <w:szCs w:val="20"/>
          <w:lang w:val="fr-FR" w:bidi="fr-FR"/>
        </w:rPr>
        <w:t>Fund</w:t>
      </w:r>
      <w:proofErr w:type="spellEnd"/>
      <w:r w:rsidRPr="00266BEF">
        <w:rPr>
          <w:rFonts w:ascii="Poppins" w:hAnsi="Poppins" w:cs="Poppins"/>
          <w:sz w:val="20"/>
          <w:szCs w:val="20"/>
          <w:lang w:val="fr-FR" w:bidi="fr-FR"/>
        </w:rPr>
        <w:t xml:space="preserve"> - GCERF) </w:t>
      </w:r>
      <w:r w:rsidR="00355512" w:rsidRPr="00266BEF">
        <w:rPr>
          <w:rFonts w:ascii="Poppins" w:hAnsi="Poppins" w:cs="Poppins"/>
          <w:sz w:val="20"/>
          <w:szCs w:val="20"/>
          <w:lang w:val="fr-FR" w:bidi="fr-FR"/>
        </w:rPr>
        <w:t xml:space="preserve">en collaboration avec le Mécanisme de soutien aux pays, recherche une organisation basée en Tunisie pour devenir un Partenaire local de connaissances en Tunisie, soutenant le portefeuille pays </w:t>
      </w:r>
      <w:r w:rsidR="00923DEE" w:rsidRPr="00266BEF">
        <w:rPr>
          <w:rFonts w:ascii="Poppins" w:hAnsi="Poppins" w:cs="Poppins"/>
          <w:sz w:val="20"/>
          <w:szCs w:val="20"/>
          <w:lang w:val="fr-FR" w:bidi="fr-FR"/>
        </w:rPr>
        <w:t>D</w:t>
      </w:r>
      <w:r w:rsidR="00923DEE">
        <w:rPr>
          <w:rFonts w:ascii="Poppins" w:hAnsi="Poppins" w:cs="Poppins"/>
          <w:sz w:val="20"/>
          <w:szCs w:val="20"/>
          <w:lang w:val="fr-FR" w:bidi="fr-FR"/>
        </w:rPr>
        <w:t xml:space="preserve">e </w:t>
      </w:r>
      <w:r w:rsidR="00355512" w:rsidRPr="00266BEF">
        <w:rPr>
          <w:rFonts w:ascii="Poppins" w:hAnsi="Poppins" w:cs="Poppins"/>
          <w:sz w:val="20"/>
          <w:szCs w:val="20"/>
          <w:lang w:val="fr-FR" w:bidi="fr-FR"/>
        </w:rPr>
        <w:t>GCERF. Le portefeuille GCERF est mis en œuvre par des organisations de la société civile en Tunisie.</w:t>
      </w:r>
    </w:p>
    <w:p w14:paraId="68B0A0F6" w14:textId="77777777" w:rsidR="00A24F9D" w:rsidRPr="00266BEF" w:rsidRDefault="00A24F9D" w:rsidP="00A24F9D">
      <w:pPr>
        <w:jc w:val="center"/>
        <w:rPr>
          <w:rFonts w:ascii="Poppins" w:hAnsi="Poppins" w:cs="Poppins"/>
          <w:sz w:val="20"/>
          <w:szCs w:val="20"/>
          <w:lang w:val="fr-FR" w:bidi="fr-FR"/>
        </w:rPr>
      </w:pPr>
    </w:p>
    <w:p w14:paraId="6F6B5282" w14:textId="31DFAC36" w:rsidR="00CC42F9" w:rsidRPr="00266BEF" w:rsidRDefault="00594FBE" w:rsidP="006928EF">
      <w:pPr>
        <w:jc w:val="center"/>
        <w:rPr>
          <w:rFonts w:ascii="Poppins" w:hAnsi="Poppins" w:cs="Poppins"/>
          <w:sz w:val="20"/>
          <w:szCs w:val="20"/>
          <w:lang w:val="fr-FR" w:bidi="fr-FR"/>
        </w:rPr>
      </w:pPr>
      <w:r w:rsidRPr="00266BEF">
        <w:rPr>
          <w:rFonts w:ascii="Poppins" w:hAnsi="Poppins" w:cs="Poppins"/>
          <w:b/>
          <w:bCs/>
          <w:sz w:val="20"/>
          <w:szCs w:val="20"/>
          <w:lang w:val="fr-FR" w:bidi="fr-FR"/>
        </w:rPr>
        <w:t xml:space="preserve">DATE LIMITE DE </w:t>
      </w:r>
      <w:r w:rsidR="00723D75" w:rsidRPr="00266BEF">
        <w:rPr>
          <w:rFonts w:ascii="Poppins" w:hAnsi="Poppins" w:cs="Poppins"/>
          <w:b/>
          <w:bCs/>
          <w:sz w:val="20"/>
          <w:szCs w:val="20"/>
          <w:lang w:val="fr-FR" w:bidi="fr-FR"/>
        </w:rPr>
        <w:t>CANDIDATURE</w:t>
      </w:r>
      <w:r w:rsidRPr="00266BEF">
        <w:rPr>
          <w:rFonts w:ascii="Poppins" w:hAnsi="Poppins" w:cs="Poppins"/>
          <w:sz w:val="20"/>
          <w:szCs w:val="20"/>
          <w:lang w:val="fr-FR" w:bidi="fr-FR"/>
        </w:rPr>
        <w:t xml:space="preserve"> : </w:t>
      </w:r>
      <w:r w:rsidR="008D4FC0" w:rsidRPr="008D4FC0">
        <w:rPr>
          <w:rFonts w:ascii="Poppins" w:hAnsi="Poppins" w:cs="Poppins"/>
          <w:sz w:val="20"/>
          <w:szCs w:val="20"/>
          <w:lang w:val="fr-FR" w:bidi="fr-FR"/>
        </w:rPr>
        <w:t>31 décembre 2022</w:t>
      </w:r>
    </w:p>
    <w:p w14:paraId="611A20CF" w14:textId="77777777" w:rsidR="00A24F9D" w:rsidRPr="00266BEF" w:rsidRDefault="00A24F9D" w:rsidP="006928EF">
      <w:pPr>
        <w:jc w:val="center"/>
        <w:rPr>
          <w:rFonts w:ascii="Poppins" w:hAnsi="Poppins" w:cs="Poppins"/>
          <w:sz w:val="20"/>
          <w:szCs w:val="20"/>
          <w:lang w:val="fr-FR" w:bidi="fr-FR"/>
        </w:rPr>
      </w:pPr>
    </w:p>
    <w:p w14:paraId="2252EAE5" w14:textId="77777777" w:rsidR="00674FD9" w:rsidRPr="00266BEF" w:rsidRDefault="00674FD9" w:rsidP="00674FD9">
      <w:pPr>
        <w:widowControl w:val="0"/>
        <w:autoSpaceDE w:val="0"/>
        <w:autoSpaceDN w:val="0"/>
        <w:adjustRightInd w:val="0"/>
        <w:spacing w:before="36" w:after="0"/>
        <w:jc w:val="both"/>
        <w:rPr>
          <w:rFonts w:ascii="Poppins" w:hAnsi="Poppins" w:cs="Poppins"/>
          <w:b/>
          <w:bCs/>
          <w:sz w:val="20"/>
          <w:szCs w:val="20"/>
          <w:lang w:val="fr-FR"/>
        </w:rPr>
      </w:pPr>
      <w:r w:rsidRPr="00266BEF">
        <w:rPr>
          <w:rFonts w:ascii="Poppins" w:hAnsi="Poppins" w:cs="Poppins"/>
          <w:b/>
          <w:sz w:val="20"/>
          <w:szCs w:val="20"/>
          <w:lang w:val="fr-FR" w:bidi="fr-FR"/>
        </w:rPr>
        <w:t>1. Contexte et justification du projet</w:t>
      </w:r>
    </w:p>
    <w:p w14:paraId="620A0804" w14:textId="36B88D8B" w:rsidR="00674FD9" w:rsidRPr="00266BEF" w:rsidRDefault="00674FD9" w:rsidP="00674FD9">
      <w:pPr>
        <w:widowControl w:val="0"/>
        <w:autoSpaceDE w:val="0"/>
        <w:autoSpaceDN w:val="0"/>
        <w:adjustRightInd w:val="0"/>
        <w:spacing w:before="40"/>
        <w:jc w:val="both"/>
        <w:rPr>
          <w:rFonts w:ascii="Poppins" w:hAnsi="Poppins" w:cs="Poppins"/>
          <w:sz w:val="20"/>
          <w:szCs w:val="20"/>
          <w:lang w:val="fr-FR"/>
        </w:rPr>
      </w:pPr>
      <w:r w:rsidRPr="00266BEF">
        <w:rPr>
          <w:rFonts w:ascii="Poppins" w:hAnsi="Poppins" w:cs="Poppins"/>
          <w:sz w:val="20"/>
          <w:szCs w:val="20"/>
          <w:lang w:val="fr-FR" w:bidi="fr-FR"/>
        </w:rPr>
        <w:t xml:space="preserve">Le Fonds mondial pour l’engagement de la communauté et la résilience (en anglais Global Community Engagement and </w:t>
      </w:r>
      <w:proofErr w:type="spellStart"/>
      <w:r w:rsidRPr="00266BEF">
        <w:rPr>
          <w:rFonts w:ascii="Poppins" w:hAnsi="Poppins" w:cs="Poppins"/>
          <w:sz w:val="20"/>
          <w:szCs w:val="20"/>
          <w:lang w:val="fr-FR" w:bidi="fr-FR"/>
        </w:rPr>
        <w:t>Resilience</w:t>
      </w:r>
      <w:proofErr w:type="spellEnd"/>
      <w:r w:rsidRPr="00266BEF">
        <w:rPr>
          <w:rFonts w:ascii="Poppins" w:hAnsi="Poppins" w:cs="Poppins"/>
          <w:sz w:val="20"/>
          <w:szCs w:val="20"/>
          <w:lang w:val="fr-FR" w:bidi="fr-FR"/>
        </w:rPr>
        <w:t xml:space="preserve"> </w:t>
      </w:r>
      <w:proofErr w:type="spellStart"/>
      <w:r w:rsidRPr="00266BEF">
        <w:rPr>
          <w:rFonts w:ascii="Poppins" w:hAnsi="Poppins" w:cs="Poppins"/>
          <w:sz w:val="20"/>
          <w:szCs w:val="20"/>
          <w:lang w:val="fr-FR" w:bidi="fr-FR"/>
        </w:rPr>
        <w:t>Fund</w:t>
      </w:r>
      <w:proofErr w:type="spellEnd"/>
      <w:r w:rsidRPr="00266BEF">
        <w:rPr>
          <w:rFonts w:ascii="Poppins" w:hAnsi="Poppins" w:cs="Poppins"/>
          <w:sz w:val="20"/>
          <w:szCs w:val="20"/>
          <w:lang w:val="fr-FR" w:bidi="fr-FR"/>
        </w:rPr>
        <w:t xml:space="preserve"> - GCERF) est une fondation suisse indépendante ayant pour objectif de devenir le premier effort mondial visant à soutenir les initiatives locales et communautaires pour renforcer la résilience face aux visées extrémistes violentes. Situé au carrefour de la sécurité et du développement, GCERF s’engage à travailler en partenariat et en consultation avec les gouvernements, la société civile et le secteur privé dans les pays partenaires en vue de soutenir les stratégies nationales destinées à combattre les facteurs locaux contribuant à l’extrémisme violent. GCERF renforce la résilience communautaire en aidant les initiatives locales et communautaires à contrer les facteurs contribuant à l’extrémisme violent. Ces initiatives promeuvent la cohésion sociale, l’agence communautaire, l’égalité des chances et la raison d’être individuelle. </w:t>
      </w:r>
    </w:p>
    <w:p w14:paraId="550D35C1" w14:textId="084A888A" w:rsidR="00FD3B01" w:rsidRPr="00266BEF" w:rsidRDefault="00A40F3A" w:rsidP="00A40F3A">
      <w:pPr>
        <w:jc w:val="both"/>
        <w:rPr>
          <w:rFonts w:ascii="Poppins" w:hAnsi="Poppins" w:cs="Poppins"/>
          <w:sz w:val="20"/>
          <w:szCs w:val="20"/>
          <w:lang w:val="fr-FR" w:bidi="fr-FR"/>
        </w:rPr>
      </w:pPr>
      <w:r w:rsidRPr="00266BEF">
        <w:rPr>
          <w:rFonts w:ascii="Poppins" w:hAnsi="Poppins" w:cs="Poppins"/>
          <w:sz w:val="20"/>
          <w:szCs w:val="20"/>
          <w:lang w:val="fr-FR" w:bidi="fr-FR"/>
        </w:rPr>
        <w:t>GCERF a commencé ses premiers investissements en Tunisie en 2019 avec un premier cycle de financement de cinq organisations. Dans le cadre du dernier cycle de financement (commencé en 2022), GCERF a pour objectif de financer trois organisations d'ici la fin du troisième trimestre 2022 à hauteur de 2,5 millions d'USD.</w:t>
      </w:r>
    </w:p>
    <w:p w14:paraId="05E28094" w14:textId="611AD9D9" w:rsidR="006928EF" w:rsidRPr="00266BEF" w:rsidRDefault="003D1661" w:rsidP="003D1661">
      <w:pPr>
        <w:rPr>
          <w:rFonts w:ascii="Poppins" w:hAnsi="Poppins" w:cs="Poppins"/>
          <w:b/>
          <w:bCs/>
          <w:sz w:val="20"/>
          <w:szCs w:val="20"/>
          <w:lang w:val="fr-FR"/>
        </w:rPr>
      </w:pPr>
      <w:r w:rsidRPr="00266BEF">
        <w:rPr>
          <w:rFonts w:ascii="Poppins" w:hAnsi="Poppins" w:cs="Poppins"/>
          <w:b/>
          <w:bCs/>
          <w:sz w:val="20"/>
          <w:szCs w:val="20"/>
          <w:lang w:val="fr-FR"/>
        </w:rPr>
        <w:t>2. L'approche programmatique de GCERF en Tunisie</w:t>
      </w:r>
    </w:p>
    <w:p w14:paraId="78CCCC73" w14:textId="1EA112A5" w:rsidR="00062FB3" w:rsidRPr="00266BEF" w:rsidRDefault="00062FB3" w:rsidP="00CC5DC3">
      <w:pPr>
        <w:jc w:val="both"/>
        <w:rPr>
          <w:rFonts w:ascii="Poppins" w:hAnsi="Poppins" w:cs="Poppins"/>
          <w:sz w:val="20"/>
          <w:szCs w:val="20"/>
          <w:lang w:val="fr-FR"/>
        </w:rPr>
      </w:pPr>
      <w:r w:rsidRPr="00266BEF">
        <w:rPr>
          <w:rFonts w:ascii="Poppins" w:hAnsi="Poppins" w:cs="Poppins"/>
          <w:sz w:val="20"/>
          <w:szCs w:val="20"/>
          <w:lang w:val="fr-FR"/>
        </w:rPr>
        <w:t xml:space="preserve">Conformément aux priorités de programmation du gouvernement tunisien, GCERF finance des initiatives qui visent à accroître la résilience face à la radicalisation et à l'extrémisme violent par le biais d'une cohésion sociale accrue et d'une agence communautaire. </w:t>
      </w:r>
    </w:p>
    <w:p w14:paraId="5E243731" w14:textId="359CCD79" w:rsidR="00A24F9D" w:rsidRPr="00266BEF" w:rsidRDefault="001415FD" w:rsidP="00CC5DC3">
      <w:pPr>
        <w:jc w:val="both"/>
        <w:rPr>
          <w:rFonts w:ascii="Poppins" w:hAnsi="Poppins" w:cs="Poppins"/>
          <w:sz w:val="20"/>
          <w:szCs w:val="20"/>
          <w:lang w:val="fr-FR"/>
        </w:rPr>
      </w:pPr>
      <w:r w:rsidRPr="00266BEF">
        <w:rPr>
          <w:rFonts w:ascii="Poppins" w:hAnsi="Poppins" w:cs="Poppins"/>
          <w:sz w:val="20"/>
          <w:szCs w:val="20"/>
          <w:lang w:val="fr-FR"/>
        </w:rPr>
        <w:t>Au niveau géographique</w:t>
      </w:r>
      <w:r w:rsidR="00062FB3" w:rsidRPr="00266BEF">
        <w:rPr>
          <w:rFonts w:ascii="Poppins" w:hAnsi="Poppins" w:cs="Poppins"/>
          <w:sz w:val="20"/>
          <w:szCs w:val="20"/>
          <w:lang w:val="fr-FR"/>
        </w:rPr>
        <w:t xml:space="preserve">, le nouveau cycle de financement </w:t>
      </w:r>
      <w:r w:rsidR="00923DEE">
        <w:rPr>
          <w:rFonts w:ascii="Poppins" w:hAnsi="Poppins" w:cs="Poppins"/>
          <w:sz w:val="20"/>
          <w:szCs w:val="20"/>
          <w:lang w:val="fr-FR"/>
        </w:rPr>
        <w:t>de</w:t>
      </w:r>
      <w:r w:rsidR="00062FB3" w:rsidRPr="00266BEF">
        <w:rPr>
          <w:rFonts w:ascii="Poppins" w:hAnsi="Poppins" w:cs="Poppins"/>
          <w:sz w:val="20"/>
          <w:szCs w:val="20"/>
          <w:lang w:val="fr-FR"/>
        </w:rPr>
        <w:t xml:space="preserve"> GCERF en Tunisie se concentre sur les régions de Gafsa, Jendouba, Kasserine, Kef, Sidi Bouzid et Tunis. Le programme d</w:t>
      </w:r>
      <w:r w:rsidR="00923DEE">
        <w:rPr>
          <w:rFonts w:ascii="Poppins" w:hAnsi="Poppins" w:cs="Poppins"/>
          <w:sz w:val="20"/>
          <w:szCs w:val="20"/>
          <w:lang w:val="fr-FR"/>
        </w:rPr>
        <w:t>e</w:t>
      </w:r>
      <w:r w:rsidR="00062FB3" w:rsidRPr="00266BEF">
        <w:rPr>
          <w:rFonts w:ascii="Poppins" w:hAnsi="Poppins" w:cs="Poppins"/>
          <w:sz w:val="20"/>
          <w:szCs w:val="20"/>
          <w:lang w:val="fr-FR"/>
        </w:rPr>
        <w:t xml:space="preserve"> GCERF cherche à créer des systèmes communautaires intégrés </w:t>
      </w:r>
      <w:r w:rsidR="00062FB3" w:rsidRPr="00266BEF">
        <w:rPr>
          <w:rFonts w:ascii="Poppins" w:hAnsi="Poppins" w:cs="Poppins"/>
          <w:sz w:val="20"/>
          <w:szCs w:val="20"/>
          <w:lang w:val="fr-FR"/>
        </w:rPr>
        <w:lastRenderedPageBreak/>
        <w:t>nécessaires pour améliorer la confiance entre les communautés locales et les acteurs du gouvernement et de la sécurité.</w:t>
      </w:r>
    </w:p>
    <w:tbl>
      <w:tblPr>
        <w:tblStyle w:val="TableGrid"/>
        <w:tblW w:w="9634" w:type="dxa"/>
        <w:tblLook w:val="04A0" w:firstRow="1" w:lastRow="0" w:firstColumn="1" w:lastColumn="0" w:noHBand="0" w:noVBand="1"/>
      </w:tblPr>
      <w:tblGrid>
        <w:gridCol w:w="7083"/>
        <w:gridCol w:w="2551"/>
      </w:tblGrid>
      <w:tr w:rsidR="00514E2E" w:rsidRPr="00266BEF" w14:paraId="27363015" w14:textId="77777777" w:rsidTr="00B10051">
        <w:tc>
          <w:tcPr>
            <w:tcW w:w="9634" w:type="dxa"/>
            <w:gridSpan w:val="2"/>
            <w:shd w:val="clear" w:color="auto" w:fill="002060"/>
          </w:tcPr>
          <w:p w14:paraId="46117805" w14:textId="683DDE68" w:rsidR="00514E2E" w:rsidRPr="00266BEF" w:rsidRDefault="00E85929" w:rsidP="00B10051">
            <w:pPr>
              <w:jc w:val="center"/>
              <w:rPr>
                <w:rFonts w:ascii="Poppins" w:hAnsi="Poppins" w:cs="Poppins"/>
                <w:b/>
                <w:bCs/>
                <w:sz w:val="20"/>
                <w:szCs w:val="20"/>
                <w:lang w:val="fr-FR"/>
              </w:rPr>
            </w:pPr>
            <w:bookmarkStart w:id="0" w:name="_Hlk69401583"/>
            <w:r w:rsidRPr="00266BEF">
              <w:rPr>
                <w:rFonts w:ascii="Poppins" w:hAnsi="Poppins" w:cs="Poppins"/>
                <w:b/>
                <w:bCs/>
                <w:sz w:val="20"/>
                <w:szCs w:val="20"/>
                <w:lang w:val="fr-FR"/>
              </w:rPr>
              <w:t>QUOI : permettre la prévention, le renforcement de la résilience et l'intégration communautaire grâce à une plus grande cohésion sociale verticale et à l'agence communautaire</w:t>
            </w:r>
          </w:p>
        </w:tc>
      </w:tr>
      <w:tr w:rsidR="00514E2E" w:rsidRPr="00266BEF" w14:paraId="7076D86B" w14:textId="77777777" w:rsidTr="00B10051">
        <w:tc>
          <w:tcPr>
            <w:tcW w:w="7083" w:type="dxa"/>
            <w:shd w:val="clear" w:color="auto" w:fill="EDEDED" w:themeFill="accent3" w:themeFillTint="33"/>
          </w:tcPr>
          <w:p w14:paraId="64DF6E6B" w14:textId="3A2D7D8E" w:rsidR="00514E2E" w:rsidRPr="00266BEF" w:rsidRDefault="00774021" w:rsidP="00B10051">
            <w:pPr>
              <w:rPr>
                <w:rFonts w:ascii="Poppins" w:hAnsi="Poppins" w:cs="Poppins"/>
                <w:b/>
                <w:bCs/>
                <w:sz w:val="20"/>
                <w:szCs w:val="20"/>
                <w:lang w:val="fr-FR"/>
              </w:rPr>
            </w:pPr>
            <w:r w:rsidRPr="00266BEF">
              <w:rPr>
                <w:rFonts w:ascii="Poppins" w:hAnsi="Poppins" w:cs="Poppins"/>
                <w:b/>
                <w:bCs/>
                <w:sz w:val="20"/>
                <w:szCs w:val="20"/>
                <w:lang w:val="fr-FR"/>
              </w:rPr>
              <w:t>QUI</w:t>
            </w:r>
            <w:r w:rsidR="00514E2E" w:rsidRPr="00266BEF">
              <w:rPr>
                <w:rFonts w:ascii="Poppins" w:hAnsi="Poppins" w:cs="Poppins"/>
                <w:b/>
                <w:bCs/>
                <w:sz w:val="20"/>
                <w:szCs w:val="20"/>
                <w:lang w:val="fr-FR"/>
              </w:rPr>
              <w:t xml:space="preserve">: </w:t>
            </w:r>
          </w:p>
          <w:p w14:paraId="5B734E06" w14:textId="77777777" w:rsidR="00774021" w:rsidRPr="00266BEF" w:rsidRDefault="00774021" w:rsidP="00774021">
            <w:pPr>
              <w:pStyle w:val="ListParagraph"/>
              <w:numPr>
                <w:ilvl w:val="0"/>
                <w:numId w:val="1"/>
              </w:numPr>
              <w:spacing w:after="200"/>
              <w:rPr>
                <w:rFonts w:ascii="Poppins" w:hAnsi="Poppins" w:cs="Poppins"/>
                <w:sz w:val="18"/>
                <w:szCs w:val="18"/>
                <w:lang w:val="fr-FR"/>
              </w:rPr>
            </w:pPr>
            <w:r w:rsidRPr="00266BEF">
              <w:rPr>
                <w:rFonts w:ascii="Poppins" w:hAnsi="Poppins" w:cs="Poppins"/>
                <w:sz w:val="18"/>
                <w:szCs w:val="18"/>
                <w:lang w:val="fr-FR"/>
              </w:rPr>
              <w:t>Jeunes en âge scolaire (jeunes filles et garçons entre 14 et 18 ans)</w:t>
            </w:r>
          </w:p>
          <w:p w14:paraId="71851A70" w14:textId="77777777" w:rsidR="00774021" w:rsidRPr="00266BEF" w:rsidRDefault="00774021" w:rsidP="00774021">
            <w:pPr>
              <w:pStyle w:val="ListParagraph"/>
              <w:numPr>
                <w:ilvl w:val="0"/>
                <w:numId w:val="1"/>
              </w:numPr>
              <w:spacing w:after="200"/>
              <w:rPr>
                <w:rFonts w:ascii="Poppins" w:hAnsi="Poppins" w:cs="Poppins"/>
                <w:sz w:val="18"/>
                <w:szCs w:val="18"/>
                <w:lang w:val="fr-FR"/>
              </w:rPr>
            </w:pPr>
            <w:r w:rsidRPr="00266BEF">
              <w:rPr>
                <w:rFonts w:ascii="Poppins" w:hAnsi="Poppins" w:cs="Poppins"/>
                <w:sz w:val="18"/>
                <w:szCs w:val="18"/>
                <w:lang w:val="fr-FR"/>
              </w:rPr>
              <w:t>Jeunes sans emploi ou sous-employés (jeunes femmes et hommes âgés de 19 à 35 ans)</w:t>
            </w:r>
          </w:p>
          <w:p w14:paraId="1A543EDD" w14:textId="77777777" w:rsidR="00774021" w:rsidRPr="00266BEF" w:rsidRDefault="00774021" w:rsidP="00774021">
            <w:pPr>
              <w:pStyle w:val="ListParagraph"/>
              <w:numPr>
                <w:ilvl w:val="0"/>
                <w:numId w:val="1"/>
              </w:numPr>
              <w:spacing w:after="200"/>
              <w:rPr>
                <w:rFonts w:ascii="Poppins" w:hAnsi="Poppins" w:cs="Poppins"/>
                <w:sz w:val="18"/>
                <w:szCs w:val="18"/>
                <w:lang w:val="fr-FR"/>
              </w:rPr>
            </w:pPr>
            <w:r w:rsidRPr="00266BEF">
              <w:rPr>
                <w:rFonts w:ascii="Poppins" w:hAnsi="Poppins" w:cs="Poppins"/>
                <w:sz w:val="18"/>
                <w:szCs w:val="18"/>
                <w:lang w:val="fr-FR"/>
              </w:rPr>
              <w:t>Acteurs religieux, tribaux et communautaires</w:t>
            </w:r>
          </w:p>
          <w:p w14:paraId="6ECBD0A6" w14:textId="3EFD6B8C" w:rsidR="00514E2E" w:rsidRPr="00266BEF" w:rsidRDefault="00774021" w:rsidP="00774021">
            <w:pPr>
              <w:pStyle w:val="ListParagraph"/>
              <w:numPr>
                <w:ilvl w:val="0"/>
                <w:numId w:val="1"/>
              </w:numPr>
              <w:spacing w:after="200"/>
              <w:rPr>
                <w:rFonts w:ascii="Poppins" w:hAnsi="Poppins" w:cs="Poppins"/>
                <w:sz w:val="18"/>
                <w:szCs w:val="18"/>
                <w:lang w:val="fr-FR"/>
              </w:rPr>
            </w:pPr>
            <w:r w:rsidRPr="00266BEF">
              <w:rPr>
                <w:rFonts w:ascii="Poppins" w:hAnsi="Poppins" w:cs="Poppins"/>
                <w:sz w:val="18"/>
                <w:szCs w:val="18"/>
                <w:lang w:val="fr-FR"/>
              </w:rPr>
              <w:t xml:space="preserve">Acteurs </w:t>
            </w:r>
            <w:r w:rsidR="0068381D" w:rsidRPr="00266BEF">
              <w:rPr>
                <w:rFonts w:ascii="Poppins" w:hAnsi="Poppins" w:cs="Poppins"/>
                <w:sz w:val="18"/>
                <w:szCs w:val="18"/>
                <w:lang w:val="fr-FR"/>
              </w:rPr>
              <w:t>é</w:t>
            </w:r>
            <w:r w:rsidRPr="00266BEF">
              <w:rPr>
                <w:rFonts w:ascii="Poppins" w:hAnsi="Poppins" w:cs="Poppins"/>
                <w:sz w:val="18"/>
                <w:szCs w:val="18"/>
                <w:lang w:val="fr-FR"/>
              </w:rPr>
              <w:t>tatiques (autorités locales et acteurs de la sécurité et de la justice)</w:t>
            </w:r>
          </w:p>
        </w:tc>
        <w:tc>
          <w:tcPr>
            <w:tcW w:w="2551" w:type="dxa"/>
            <w:shd w:val="clear" w:color="auto" w:fill="EDEDED" w:themeFill="accent3" w:themeFillTint="33"/>
          </w:tcPr>
          <w:p w14:paraId="1C105E27" w14:textId="5E0854B1" w:rsidR="00514E2E" w:rsidRPr="00266BEF" w:rsidRDefault="008E2A87" w:rsidP="00B10051">
            <w:pPr>
              <w:jc w:val="both"/>
              <w:rPr>
                <w:rFonts w:ascii="Poppins" w:hAnsi="Poppins" w:cs="Poppins"/>
                <w:b/>
                <w:bCs/>
                <w:sz w:val="18"/>
                <w:szCs w:val="18"/>
                <w:lang w:val="fr-FR"/>
              </w:rPr>
            </w:pPr>
            <w:r w:rsidRPr="00266BEF">
              <w:rPr>
                <w:rFonts w:ascii="Poppins" w:hAnsi="Poppins" w:cs="Poppins"/>
                <w:b/>
                <w:bCs/>
                <w:sz w:val="18"/>
                <w:szCs w:val="18"/>
                <w:lang w:val="fr-FR"/>
              </w:rPr>
              <w:t>OU</w:t>
            </w:r>
            <w:r w:rsidR="00514E2E" w:rsidRPr="00266BEF">
              <w:rPr>
                <w:rFonts w:ascii="Poppins" w:hAnsi="Poppins" w:cs="Poppins"/>
                <w:b/>
                <w:bCs/>
                <w:sz w:val="18"/>
                <w:szCs w:val="18"/>
                <w:lang w:val="fr-FR"/>
              </w:rPr>
              <w:t>:</w:t>
            </w:r>
          </w:p>
          <w:p w14:paraId="3AF8BCBC" w14:textId="77777777" w:rsidR="00514E2E" w:rsidRPr="00266BEF" w:rsidRDefault="00514E2E" w:rsidP="00514E2E">
            <w:pPr>
              <w:pStyle w:val="ListParagraph"/>
              <w:numPr>
                <w:ilvl w:val="0"/>
                <w:numId w:val="2"/>
              </w:numPr>
              <w:spacing w:after="0"/>
              <w:ind w:left="281"/>
              <w:jc w:val="both"/>
              <w:rPr>
                <w:rFonts w:ascii="Poppins" w:hAnsi="Poppins" w:cs="Poppins"/>
                <w:sz w:val="18"/>
                <w:szCs w:val="18"/>
                <w:lang w:val="fr-FR"/>
              </w:rPr>
            </w:pPr>
            <w:r w:rsidRPr="00266BEF">
              <w:rPr>
                <w:rFonts w:ascii="Poppins" w:hAnsi="Poppins" w:cs="Poppins"/>
                <w:sz w:val="18"/>
                <w:szCs w:val="18"/>
                <w:lang w:val="fr-FR"/>
              </w:rPr>
              <w:t>Gafsa</w:t>
            </w:r>
          </w:p>
          <w:p w14:paraId="736D4578" w14:textId="77777777" w:rsidR="00514E2E" w:rsidRPr="00266BEF" w:rsidRDefault="00514E2E" w:rsidP="00514E2E">
            <w:pPr>
              <w:pStyle w:val="ListParagraph"/>
              <w:numPr>
                <w:ilvl w:val="0"/>
                <w:numId w:val="2"/>
              </w:numPr>
              <w:spacing w:after="0"/>
              <w:ind w:left="281"/>
              <w:jc w:val="both"/>
              <w:rPr>
                <w:rFonts w:ascii="Poppins" w:hAnsi="Poppins" w:cs="Poppins"/>
                <w:sz w:val="18"/>
                <w:szCs w:val="18"/>
                <w:lang w:val="fr-FR"/>
              </w:rPr>
            </w:pPr>
            <w:r w:rsidRPr="00266BEF">
              <w:rPr>
                <w:rFonts w:ascii="Poppins" w:hAnsi="Poppins" w:cs="Poppins"/>
                <w:sz w:val="18"/>
                <w:szCs w:val="18"/>
                <w:lang w:val="fr-FR"/>
              </w:rPr>
              <w:t>Jendouba</w:t>
            </w:r>
          </w:p>
          <w:p w14:paraId="420F103E" w14:textId="77777777" w:rsidR="00514E2E" w:rsidRPr="00266BEF" w:rsidRDefault="00514E2E" w:rsidP="00514E2E">
            <w:pPr>
              <w:pStyle w:val="ListParagraph"/>
              <w:numPr>
                <w:ilvl w:val="0"/>
                <w:numId w:val="2"/>
              </w:numPr>
              <w:spacing w:after="0"/>
              <w:ind w:left="281"/>
              <w:jc w:val="both"/>
              <w:rPr>
                <w:rFonts w:ascii="Poppins" w:hAnsi="Poppins" w:cs="Poppins"/>
                <w:sz w:val="18"/>
                <w:szCs w:val="18"/>
                <w:lang w:val="fr-FR"/>
              </w:rPr>
            </w:pPr>
            <w:r w:rsidRPr="00266BEF">
              <w:rPr>
                <w:rFonts w:ascii="Poppins" w:hAnsi="Poppins" w:cs="Poppins"/>
                <w:sz w:val="18"/>
                <w:szCs w:val="18"/>
                <w:lang w:val="fr-FR"/>
              </w:rPr>
              <w:t>Kasserine</w:t>
            </w:r>
          </w:p>
          <w:p w14:paraId="56EEF9E8" w14:textId="77777777" w:rsidR="00514E2E" w:rsidRPr="00266BEF" w:rsidRDefault="00514E2E" w:rsidP="00514E2E">
            <w:pPr>
              <w:pStyle w:val="ListParagraph"/>
              <w:numPr>
                <w:ilvl w:val="0"/>
                <w:numId w:val="2"/>
              </w:numPr>
              <w:spacing w:after="0"/>
              <w:ind w:left="281"/>
              <w:jc w:val="both"/>
              <w:rPr>
                <w:rFonts w:ascii="Poppins" w:hAnsi="Poppins" w:cs="Poppins"/>
                <w:sz w:val="18"/>
                <w:szCs w:val="18"/>
                <w:lang w:val="fr-FR"/>
              </w:rPr>
            </w:pPr>
            <w:r w:rsidRPr="00266BEF">
              <w:rPr>
                <w:rFonts w:ascii="Poppins" w:hAnsi="Poppins" w:cs="Poppins"/>
                <w:sz w:val="18"/>
                <w:szCs w:val="18"/>
                <w:lang w:val="fr-FR"/>
              </w:rPr>
              <w:t>Kef</w:t>
            </w:r>
          </w:p>
          <w:p w14:paraId="28F61BE3" w14:textId="77777777" w:rsidR="00514E2E" w:rsidRPr="00266BEF" w:rsidRDefault="00514E2E" w:rsidP="00514E2E">
            <w:pPr>
              <w:pStyle w:val="ListParagraph"/>
              <w:numPr>
                <w:ilvl w:val="0"/>
                <w:numId w:val="2"/>
              </w:numPr>
              <w:spacing w:after="0"/>
              <w:ind w:left="281"/>
              <w:jc w:val="both"/>
              <w:rPr>
                <w:rFonts w:ascii="Poppins" w:hAnsi="Poppins" w:cs="Poppins"/>
                <w:sz w:val="18"/>
                <w:szCs w:val="18"/>
                <w:lang w:val="fr-FR"/>
              </w:rPr>
            </w:pPr>
            <w:r w:rsidRPr="00266BEF">
              <w:rPr>
                <w:rFonts w:ascii="Poppins" w:hAnsi="Poppins" w:cs="Poppins"/>
                <w:sz w:val="18"/>
                <w:szCs w:val="18"/>
                <w:lang w:val="fr-FR"/>
              </w:rPr>
              <w:t>Sidi Bouzid</w:t>
            </w:r>
          </w:p>
          <w:p w14:paraId="0498AECE" w14:textId="77777777" w:rsidR="00514E2E" w:rsidRPr="00266BEF" w:rsidRDefault="00514E2E" w:rsidP="00514E2E">
            <w:pPr>
              <w:pStyle w:val="ListParagraph"/>
              <w:numPr>
                <w:ilvl w:val="0"/>
                <w:numId w:val="2"/>
              </w:numPr>
              <w:spacing w:after="0"/>
              <w:ind w:left="281"/>
              <w:jc w:val="both"/>
              <w:rPr>
                <w:rFonts w:ascii="Poppins" w:hAnsi="Poppins" w:cs="Poppins"/>
                <w:sz w:val="18"/>
                <w:szCs w:val="18"/>
                <w:lang w:val="fr-FR"/>
              </w:rPr>
            </w:pPr>
            <w:r w:rsidRPr="00266BEF">
              <w:rPr>
                <w:rFonts w:ascii="Poppins" w:hAnsi="Poppins" w:cs="Poppins"/>
                <w:sz w:val="18"/>
                <w:szCs w:val="18"/>
                <w:lang w:val="fr-FR"/>
              </w:rPr>
              <w:t>Tunis</w:t>
            </w:r>
          </w:p>
        </w:tc>
      </w:tr>
      <w:tr w:rsidR="00514E2E" w:rsidRPr="00266BEF" w14:paraId="75CDD240" w14:textId="77777777" w:rsidTr="00B10051">
        <w:tc>
          <w:tcPr>
            <w:tcW w:w="9634" w:type="dxa"/>
            <w:gridSpan w:val="2"/>
            <w:shd w:val="clear" w:color="auto" w:fill="002060"/>
          </w:tcPr>
          <w:p w14:paraId="1A597AEF" w14:textId="3C3B81F3" w:rsidR="00514E2E" w:rsidRPr="00266BEF" w:rsidRDefault="007C68E5" w:rsidP="00B10051">
            <w:pPr>
              <w:jc w:val="both"/>
              <w:rPr>
                <w:rFonts w:ascii="Poppins" w:hAnsi="Poppins" w:cs="Poppins"/>
                <w:b/>
                <w:bCs/>
                <w:sz w:val="20"/>
                <w:szCs w:val="20"/>
                <w:lang w:val="fr-FR"/>
              </w:rPr>
            </w:pPr>
            <w:r w:rsidRPr="00266BEF">
              <w:rPr>
                <w:rFonts w:ascii="Poppins" w:hAnsi="Poppins" w:cs="Poppins"/>
                <w:b/>
                <w:bCs/>
                <w:sz w:val="20"/>
                <w:szCs w:val="20"/>
                <w:lang w:val="fr-FR"/>
              </w:rPr>
              <w:t>COMMENT</w:t>
            </w:r>
            <w:r w:rsidR="00514E2E" w:rsidRPr="00266BEF">
              <w:rPr>
                <w:rFonts w:ascii="Poppins" w:hAnsi="Poppins" w:cs="Poppins"/>
                <w:b/>
                <w:bCs/>
                <w:sz w:val="20"/>
                <w:szCs w:val="20"/>
                <w:lang w:val="fr-FR"/>
              </w:rPr>
              <w:t xml:space="preserve">: </w:t>
            </w:r>
            <w:r w:rsidR="00E0074C" w:rsidRPr="00266BEF">
              <w:rPr>
                <w:rFonts w:ascii="Poppins" w:hAnsi="Poppins" w:cs="Poppins"/>
                <w:sz w:val="20"/>
                <w:szCs w:val="20"/>
                <w:lang w:val="fr-FR"/>
              </w:rPr>
              <w:t>Les OSC et les autorités locales travaillent en collaboration pour identifier les priorités et mettre en œuvre la programmation de la PEV. Elles développeront également des plans stratégiques à plus long terme pour permettre l'intégration des ressources de la PEV dans une prestation de services plus large. Ainsi, les communautés seront en mesure de relever les défis permanents de l'EV.</w:t>
            </w:r>
          </w:p>
        </w:tc>
      </w:tr>
      <w:bookmarkEnd w:id="0"/>
    </w:tbl>
    <w:p w14:paraId="13CC3D25" w14:textId="5EA4E5BE" w:rsidR="00C64905" w:rsidRPr="00266BEF" w:rsidRDefault="00C64905" w:rsidP="00CC5DC3">
      <w:pPr>
        <w:jc w:val="both"/>
        <w:rPr>
          <w:rFonts w:ascii="Poppins" w:hAnsi="Poppins" w:cs="Poppins"/>
          <w:sz w:val="20"/>
          <w:szCs w:val="20"/>
          <w:lang w:val="fr-FR"/>
        </w:rPr>
      </w:pPr>
    </w:p>
    <w:p w14:paraId="770EA221" w14:textId="7E24A643" w:rsidR="00013FE6" w:rsidRPr="00266BEF" w:rsidRDefault="00013FE6" w:rsidP="00CC5DC3">
      <w:pPr>
        <w:jc w:val="both"/>
        <w:rPr>
          <w:rFonts w:ascii="Poppins" w:hAnsi="Poppins" w:cs="Poppins"/>
          <w:sz w:val="20"/>
          <w:szCs w:val="20"/>
          <w:lang w:val="fr-FR"/>
        </w:rPr>
      </w:pPr>
      <w:r w:rsidRPr="00266BEF">
        <w:rPr>
          <w:rFonts w:ascii="Poppins" w:hAnsi="Poppins" w:cs="Poppins"/>
          <w:sz w:val="20"/>
          <w:szCs w:val="20"/>
          <w:lang w:val="fr-FR"/>
        </w:rPr>
        <w:t xml:space="preserve">GCERF estime que s'il soutient les initiatives de prévention de l'extrémisme violent (PEV) qui nécessitent la collaboration d'un large éventail de parties prenantes (gouvernance locale et acteurs de la sécurité, chefs religieux, OSC (organisations de la société civile), leaders de la jeunesse, etc.) et des populations affectées, et s'il soutient les initiatives de PVE pour qu'elles soient intégrées dans la programmation générale du développement, alors les objectifs du programme devraient être atteints. Cela devrait se produire dans le cadre des hypothèses </w:t>
      </w:r>
      <w:r w:rsidR="00724A01" w:rsidRPr="00266BEF">
        <w:rPr>
          <w:rFonts w:ascii="Poppins" w:hAnsi="Poppins" w:cs="Poppins"/>
          <w:sz w:val="20"/>
          <w:szCs w:val="20"/>
          <w:lang w:val="fr-FR"/>
        </w:rPr>
        <w:t>suivantes :</w:t>
      </w:r>
    </w:p>
    <w:p w14:paraId="480362E9" w14:textId="77777777" w:rsidR="00BE6CA8" w:rsidRPr="00266BEF" w:rsidRDefault="00BE6CA8" w:rsidP="00BE6CA8">
      <w:pPr>
        <w:pStyle w:val="ListParagraph"/>
        <w:numPr>
          <w:ilvl w:val="0"/>
          <w:numId w:val="3"/>
        </w:numPr>
        <w:jc w:val="both"/>
        <w:rPr>
          <w:rFonts w:ascii="Poppins" w:hAnsi="Poppins" w:cs="Poppins"/>
          <w:sz w:val="20"/>
          <w:szCs w:val="20"/>
          <w:lang w:val="fr-FR"/>
        </w:rPr>
      </w:pPr>
      <w:r w:rsidRPr="00266BEF">
        <w:rPr>
          <w:rFonts w:ascii="Poppins" w:hAnsi="Poppins" w:cs="Poppins"/>
          <w:sz w:val="20"/>
          <w:szCs w:val="20"/>
          <w:lang w:val="fr-FR"/>
        </w:rPr>
        <w:t>S'engager dans des activités de PEV centrées et dirigées par la communauté augmente la confiance entre et parmi les acteurs locaux (y compris la gouvernance, le secteur de la sécurité, les groupes communautaires, les chefs religieux et les jeunes) et facilite les changements positifs dans les perceptions et les attitudes ;</w:t>
      </w:r>
    </w:p>
    <w:p w14:paraId="0C29D743" w14:textId="64FCC30D" w:rsidR="00BE6CA8" w:rsidRPr="00266BEF" w:rsidRDefault="00BE6CA8" w:rsidP="00BE6CA8">
      <w:pPr>
        <w:pStyle w:val="ListParagraph"/>
        <w:numPr>
          <w:ilvl w:val="0"/>
          <w:numId w:val="3"/>
        </w:numPr>
        <w:jc w:val="both"/>
        <w:rPr>
          <w:rFonts w:ascii="Poppins" w:hAnsi="Poppins" w:cs="Poppins"/>
          <w:sz w:val="20"/>
          <w:szCs w:val="20"/>
          <w:lang w:val="fr-FR"/>
        </w:rPr>
      </w:pPr>
      <w:r w:rsidRPr="00266BEF">
        <w:rPr>
          <w:rFonts w:ascii="Poppins" w:hAnsi="Poppins" w:cs="Poppins"/>
          <w:sz w:val="20"/>
          <w:szCs w:val="20"/>
          <w:lang w:val="fr-FR"/>
        </w:rPr>
        <w:t>L'instauration de la confiance et de la coopération permet aux communautés de s'approprier davantage les défis et les solutions.</w:t>
      </w:r>
    </w:p>
    <w:p w14:paraId="4FF36D47" w14:textId="21AADFCD" w:rsidR="00BE6CA8" w:rsidRPr="00266BEF" w:rsidRDefault="004E337D" w:rsidP="00BE6CA8">
      <w:pPr>
        <w:jc w:val="both"/>
        <w:rPr>
          <w:rFonts w:ascii="Poppins" w:hAnsi="Poppins" w:cs="Poppins"/>
          <w:sz w:val="19"/>
          <w:szCs w:val="19"/>
          <w:lang w:val="fr-FR"/>
        </w:rPr>
      </w:pPr>
      <w:r w:rsidRPr="00266BEF">
        <w:rPr>
          <w:rFonts w:ascii="Poppins" w:hAnsi="Poppins" w:cs="Poppins"/>
          <w:sz w:val="19"/>
          <w:szCs w:val="19"/>
          <w:lang w:val="fr-FR"/>
        </w:rPr>
        <w:t xml:space="preserve">Cette théorie du changement permettra d'obtenir les </w:t>
      </w:r>
      <w:r w:rsidRPr="00266BEF">
        <w:rPr>
          <w:rFonts w:ascii="Poppins" w:hAnsi="Poppins" w:cs="Poppins"/>
          <w:b/>
          <w:bCs/>
          <w:sz w:val="19"/>
          <w:szCs w:val="19"/>
          <w:lang w:val="fr-FR"/>
        </w:rPr>
        <w:t>résultats programmatiques</w:t>
      </w:r>
      <w:r w:rsidRPr="00266BEF">
        <w:rPr>
          <w:rFonts w:ascii="Poppins" w:hAnsi="Poppins" w:cs="Poppins"/>
          <w:sz w:val="19"/>
          <w:szCs w:val="19"/>
          <w:lang w:val="fr-FR"/>
        </w:rPr>
        <w:t xml:space="preserve"> suivants :</w:t>
      </w:r>
    </w:p>
    <w:p w14:paraId="492DCC0A" w14:textId="77777777" w:rsidR="00724A01" w:rsidRPr="00266BEF" w:rsidRDefault="00724A01" w:rsidP="00724A01">
      <w:pPr>
        <w:jc w:val="both"/>
        <w:rPr>
          <w:rFonts w:ascii="Poppins" w:hAnsi="Poppins" w:cs="Poppins"/>
          <w:sz w:val="20"/>
          <w:szCs w:val="20"/>
          <w:lang w:val="fr-FR"/>
        </w:rPr>
      </w:pPr>
      <w:r w:rsidRPr="00266BEF">
        <w:rPr>
          <w:rFonts w:ascii="Poppins" w:hAnsi="Poppins" w:cs="Poppins"/>
          <w:b/>
          <w:bCs/>
          <w:sz w:val="20"/>
          <w:szCs w:val="20"/>
          <w:lang w:val="fr-FR"/>
        </w:rPr>
        <w:t>Résultat 1</w:t>
      </w:r>
      <w:r w:rsidRPr="00266BEF">
        <w:rPr>
          <w:rFonts w:ascii="Poppins" w:hAnsi="Poppins" w:cs="Poppins"/>
          <w:sz w:val="20"/>
          <w:szCs w:val="20"/>
          <w:lang w:val="fr-FR"/>
        </w:rPr>
        <w:t xml:space="preserve"> : Les acteurs étatiques et non étatiques des cinq populations cibles dans les communautés cibles peuvent travailler en collaboration pour traiter les questions liées à l'EV, certains des moteurs communs de la migration et de l'EV (Extrémisme violent), et cet engagement conduit à une confiance et une coopération accrues entre les acteurs étatiques et non étatiques.</w:t>
      </w:r>
    </w:p>
    <w:p w14:paraId="0889213F" w14:textId="073C4224" w:rsidR="00724A01" w:rsidRPr="00266BEF" w:rsidRDefault="00724A01" w:rsidP="00724A01">
      <w:pPr>
        <w:jc w:val="both"/>
        <w:rPr>
          <w:rFonts w:ascii="Poppins" w:hAnsi="Poppins" w:cs="Poppins"/>
          <w:sz w:val="20"/>
          <w:szCs w:val="20"/>
          <w:lang w:val="fr-FR"/>
        </w:rPr>
      </w:pPr>
      <w:r w:rsidRPr="00266BEF">
        <w:rPr>
          <w:rFonts w:ascii="Poppins" w:hAnsi="Poppins" w:cs="Poppins"/>
          <w:b/>
          <w:bCs/>
          <w:sz w:val="20"/>
          <w:szCs w:val="20"/>
          <w:lang w:val="fr-FR"/>
        </w:rPr>
        <w:t>Résultat 2</w:t>
      </w:r>
      <w:r w:rsidRPr="00266BEF">
        <w:rPr>
          <w:rFonts w:ascii="Poppins" w:hAnsi="Poppins" w:cs="Poppins"/>
          <w:sz w:val="20"/>
          <w:szCs w:val="20"/>
          <w:lang w:val="fr-FR"/>
        </w:rPr>
        <w:t xml:space="preserve"> : des réseaux durables d'acteurs multisectoriels expérimentés de la PEV (y compris des acteurs étatiques et non étatiques) et des plans de PEV sont développés dans </w:t>
      </w:r>
      <w:r w:rsidRPr="00266BEF">
        <w:rPr>
          <w:rFonts w:ascii="Poppins" w:hAnsi="Poppins" w:cs="Poppins"/>
          <w:sz w:val="20"/>
          <w:szCs w:val="20"/>
          <w:lang w:val="fr-FR"/>
        </w:rPr>
        <w:lastRenderedPageBreak/>
        <w:t>les zones cibles, et peuvent être financés durablement, garantissant que les défis actuels de la PEV peuvent être relevés efficacement.</w:t>
      </w:r>
    </w:p>
    <w:p w14:paraId="2DC20F09" w14:textId="13A24F36" w:rsidR="00724A01" w:rsidRPr="00266BEF" w:rsidRDefault="007816FD" w:rsidP="007816FD">
      <w:pPr>
        <w:jc w:val="both"/>
        <w:rPr>
          <w:rFonts w:ascii="Poppins" w:hAnsi="Poppins" w:cs="Poppins"/>
          <w:b/>
          <w:bCs/>
          <w:sz w:val="20"/>
          <w:szCs w:val="20"/>
          <w:lang w:val="fr-FR"/>
        </w:rPr>
      </w:pPr>
      <w:r w:rsidRPr="00266BEF">
        <w:rPr>
          <w:rFonts w:ascii="Poppins" w:hAnsi="Poppins" w:cs="Poppins"/>
          <w:b/>
          <w:bCs/>
          <w:sz w:val="20"/>
          <w:szCs w:val="20"/>
          <w:lang w:val="fr-FR"/>
        </w:rPr>
        <w:t xml:space="preserve">3. Appel à </w:t>
      </w:r>
      <w:r w:rsidR="004E2C0C" w:rsidRPr="00266BEF">
        <w:rPr>
          <w:rFonts w:ascii="Poppins" w:hAnsi="Poppins" w:cs="Poppins"/>
          <w:b/>
          <w:bCs/>
          <w:sz w:val="20"/>
          <w:szCs w:val="20"/>
          <w:lang w:val="fr-FR"/>
        </w:rPr>
        <w:t xml:space="preserve">manifestation d’intérêt </w:t>
      </w:r>
    </w:p>
    <w:p w14:paraId="54C57DB8" w14:textId="0B3917E2" w:rsidR="004E2C0C" w:rsidRPr="00266BEF" w:rsidRDefault="003E19EB" w:rsidP="007816FD">
      <w:pPr>
        <w:jc w:val="both"/>
        <w:rPr>
          <w:rFonts w:ascii="Poppins" w:hAnsi="Poppins"/>
          <w:color w:val="000000"/>
          <w:sz w:val="20"/>
          <w:lang w:val="fr-FR"/>
        </w:rPr>
      </w:pPr>
      <w:r w:rsidRPr="00266BEF">
        <w:rPr>
          <w:rFonts w:ascii="Poppins" w:hAnsi="Poppins" w:cs="Poppins"/>
          <w:sz w:val="20"/>
          <w:szCs w:val="20"/>
          <w:lang w:val="fr-FR"/>
        </w:rPr>
        <w:t xml:space="preserve">GCERF, en collaboration avec le </w:t>
      </w:r>
      <w:r w:rsidR="008D4C38" w:rsidRPr="00266BEF">
        <w:rPr>
          <w:rFonts w:ascii="Poppins" w:hAnsi="Poppins" w:cs="Poppins"/>
          <w:sz w:val="20"/>
          <w:szCs w:val="20"/>
          <w:lang w:val="fr-FR"/>
        </w:rPr>
        <w:t>m</w:t>
      </w:r>
      <w:r w:rsidRPr="00266BEF">
        <w:rPr>
          <w:rFonts w:ascii="Poppins" w:hAnsi="Poppins" w:cs="Poppins"/>
          <w:sz w:val="20"/>
          <w:szCs w:val="20"/>
          <w:lang w:val="fr-FR"/>
        </w:rPr>
        <w:t>écanisme</w:t>
      </w:r>
      <w:r w:rsidR="008D4C38" w:rsidRPr="00266BEF">
        <w:rPr>
          <w:rFonts w:ascii="Poppins" w:hAnsi="Poppins" w:cs="Poppins"/>
          <w:sz w:val="20"/>
          <w:szCs w:val="20"/>
          <w:lang w:val="fr-FR"/>
        </w:rPr>
        <w:t xml:space="preserve"> de soutien</w:t>
      </w:r>
      <w:r w:rsidRPr="00266BEF">
        <w:rPr>
          <w:rFonts w:ascii="Poppins" w:hAnsi="Poppins" w:cs="Poppins"/>
          <w:sz w:val="20"/>
          <w:szCs w:val="20"/>
          <w:lang w:val="fr-FR"/>
        </w:rPr>
        <w:t xml:space="preserve"> </w:t>
      </w:r>
      <w:r w:rsidR="008D4C38" w:rsidRPr="00266BEF">
        <w:rPr>
          <w:rFonts w:ascii="Poppins" w:hAnsi="Poppins" w:cs="Poppins"/>
          <w:sz w:val="20"/>
          <w:szCs w:val="20"/>
          <w:lang w:val="fr-FR"/>
        </w:rPr>
        <w:t>du p</w:t>
      </w:r>
      <w:r w:rsidRPr="00266BEF">
        <w:rPr>
          <w:rFonts w:ascii="Poppins" w:hAnsi="Poppins" w:cs="Poppins"/>
          <w:sz w:val="20"/>
          <w:szCs w:val="20"/>
          <w:lang w:val="fr-FR"/>
        </w:rPr>
        <w:t>ays (</w:t>
      </w:r>
      <w:r w:rsidR="008D4C38" w:rsidRPr="00266BEF">
        <w:rPr>
          <w:rFonts w:ascii="Poppins" w:hAnsi="Poppins" w:cs="Poppins"/>
          <w:sz w:val="20"/>
          <w:szCs w:val="20"/>
          <w:lang w:val="fr-FR"/>
        </w:rPr>
        <w:t>MSP</w:t>
      </w:r>
      <w:r w:rsidRPr="00266BEF">
        <w:rPr>
          <w:rFonts w:ascii="Poppins" w:hAnsi="Poppins" w:cs="Poppins"/>
          <w:sz w:val="20"/>
          <w:szCs w:val="20"/>
          <w:lang w:val="fr-FR"/>
        </w:rPr>
        <w:t xml:space="preserve">) en Tunisie, a le plaisir d'annoncer un appel à manifestation d'intérêt </w:t>
      </w:r>
      <w:r w:rsidR="00722C0F" w:rsidRPr="00266BEF">
        <w:rPr>
          <w:rFonts w:ascii="Poppins" w:hAnsi="Poppins" w:cs="Poppins"/>
          <w:sz w:val="20"/>
          <w:szCs w:val="20"/>
          <w:lang w:val="fr-FR"/>
        </w:rPr>
        <w:t>ouvert aux</w:t>
      </w:r>
      <w:r w:rsidRPr="00266BEF">
        <w:rPr>
          <w:rFonts w:ascii="Poppins" w:hAnsi="Poppins" w:cs="Poppins"/>
          <w:sz w:val="20"/>
          <w:szCs w:val="20"/>
          <w:lang w:val="fr-FR"/>
        </w:rPr>
        <w:t xml:space="preserve"> institutions académiques, centres de recherche, groupes de réflexion et organisations à but non lucratif </w:t>
      </w:r>
      <w:r w:rsidR="00722C0F" w:rsidRPr="00266BEF">
        <w:rPr>
          <w:rFonts w:ascii="Poppins" w:hAnsi="Poppins" w:cs="Poppins"/>
          <w:sz w:val="20"/>
          <w:szCs w:val="20"/>
          <w:lang w:val="fr-FR"/>
        </w:rPr>
        <w:t>afin de</w:t>
      </w:r>
      <w:r w:rsidRPr="00266BEF">
        <w:rPr>
          <w:rFonts w:ascii="Poppins" w:hAnsi="Poppins" w:cs="Poppins"/>
          <w:sz w:val="20"/>
          <w:szCs w:val="20"/>
          <w:lang w:val="fr-FR"/>
        </w:rPr>
        <w:t xml:space="preserve"> devenir un </w:t>
      </w:r>
      <w:r w:rsidR="00722C0F" w:rsidRPr="00266BEF">
        <w:rPr>
          <w:rFonts w:ascii="Poppins" w:hAnsi="Poppins" w:cs="Poppins"/>
          <w:sz w:val="20"/>
          <w:szCs w:val="20"/>
          <w:lang w:val="fr-FR"/>
        </w:rPr>
        <w:t>p</w:t>
      </w:r>
      <w:r w:rsidRPr="00266BEF">
        <w:rPr>
          <w:rFonts w:ascii="Poppins" w:hAnsi="Poppins" w:cs="Poppins"/>
          <w:sz w:val="20"/>
          <w:szCs w:val="20"/>
          <w:lang w:val="fr-FR"/>
        </w:rPr>
        <w:t xml:space="preserve">artenaire </w:t>
      </w:r>
      <w:r w:rsidR="00722C0F" w:rsidRPr="00266BEF">
        <w:rPr>
          <w:rFonts w:ascii="Poppins" w:hAnsi="Poppins" w:cs="Poppins"/>
          <w:sz w:val="20"/>
          <w:szCs w:val="20"/>
          <w:lang w:val="fr-FR"/>
        </w:rPr>
        <w:t>l</w:t>
      </w:r>
      <w:r w:rsidRPr="00266BEF">
        <w:rPr>
          <w:rFonts w:ascii="Poppins" w:hAnsi="Poppins" w:cs="Poppins"/>
          <w:sz w:val="20"/>
          <w:szCs w:val="20"/>
          <w:lang w:val="fr-FR"/>
        </w:rPr>
        <w:t xml:space="preserve">ocal </w:t>
      </w:r>
      <w:r w:rsidR="00722C0F" w:rsidRPr="00266BEF">
        <w:rPr>
          <w:rFonts w:ascii="Poppins" w:hAnsi="Poppins" w:cs="Poppins"/>
          <w:sz w:val="20"/>
          <w:szCs w:val="20"/>
          <w:lang w:val="fr-FR"/>
        </w:rPr>
        <w:t>en matière de c</w:t>
      </w:r>
      <w:r w:rsidRPr="00266BEF">
        <w:rPr>
          <w:rFonts w:ascii="Poppins" w:hAnsi="Poppins" w:cs="Poppins"/>
          <w:sz w:val="20"/>
          <w:szCs w:val="20"/>
          <w:lang w:val="fr-FR"/>
        </w:rPr>
        <w:t>onnaissance (PLC) d</w:t>
      </w:r>
      <w:r w:rsidR="00923DEE">
        <w:rPr>
          <w:rFonts w:ascii="Poppins" w:hAnsi="Poppins" w:cs="Poppins"/>
          <w:sz w:val="20"/>
          <w:szCs w:val="20"/>
          <w:lang w:val="fr-FR"/>
        </w:rPr>
        <w:t>e</w:t>
      </w:r>
      <w:r w:rsidRPr="00266BEF">
        <w:rPr>
          <w:rFonts w:ascii="Poppins" w:hAnsi="Poppins" w:cs="Poppins"/>
          <w:sz w:val="20"/>
          <w:szCs w:val="20"/>
          <w:lang w:val="fr-FR"/>
        </w:rPr>
        <w:t xml:space="preserve"> GCERF </w:t>
      </w:r>
      <w:r w:rsidR="00B63F85" w:rsidRPr="00266BEF">
        <w:rPr>
          <w:rFonts w:ascii="Poppins" w:hAnsi="Poppins"/>
          <w:color w:val="000000"/>
          <w:sz w:val="20"/>
          <w:lang w:val="fr-FR"/>
        </w:rPr>
        <w:t xml:space="preserve">par l’intermédiaire du mécanisme de financement de base (MFB) du Fonds.   </w:t>
      </w:r>
    </w:p>
    <w:p w14:paraId="350E240B" w14:textId="6FDC00B5" w:rsidR="00465811" w:rsidRPr="00266BEF" w:rsidRDefault="00465811" w:rsidP="00465811">
      <w:pPr>
        <w:jc w:val="both"/>
        <w:rPr>
          <w:rFonts w:ascii="Poppins" w:hAnsi="Poppins" w:cs="Poppins"/>
          <w:sz w:val="20"/>
          <w:szCs w:val="20"/>
          <w:lang w:val="fr-FR"/>
        </w:rPr>
      </w:pPr>
      <w:r w:rsidRPr="00266BEF">
        <w:rPr>
          <w:rFonts w:ascii="Poppins" w:hAnsi="Poppins" w:cs="Poppins"/>
          <w:sz w:val="20"/>
          <w:szCs w:val="20"/>
          <w:lang w:val="fr-FR"/>
        </w:rPr>
        <w:t>Le PLC fera partie intégrante de l'approche de programmation d</w:t>
      </w:r>
      <w:r w:rsidR="00923DEE">
        <w:rPr>
          <w:rFonts w:ascii="Poppins" w:hAnsi="Poppins" w:cs="Poppins"/>
          <w:sz w:val="20"/>
          <w:szCs w:val="20"/>
          <w:lang w:val="fr-FR"/>
        </w:rPr>
        <w:t>e</w:t>
      </w:r>
      <w:r w:rsidRPr="00266BEF">
        <w:rPr>
          <w:rFonts w:ascii="Poppins" w:hAnsi="Poppins" w:cs="Poppins"/>
          <w:sz w:val="20"/>
          <w:szCs w:val="20"/>
          <w:lang w:val="fr-FR"/>
        </w:rPr>
        <w:t xml:space="preserve"> GCERF en Tunisie et se concentrera sur le suivi et l'évaluation des subventions, l'évaluation et le renforcement des capacités, et la recherche opérationnelle visant à améliorer la création et l'utilisation de preuves par les parties prenantes internes et externes. </w:t>
      </w:r>
    </w:p>
    <w:p w14:paraId="072236A6" w14:textId="33F923EA" w:rsidR="00465811" w:rsidRPr="00266BEF" w:rsidRDefault="00465811" w:rsidP="00465811">
      <w:pPr>
        <w:jc w:val="both"/>
        <w:rPr>
          <w:rFonts w:ascii="Poppins" w:hAnsi="Poppins" w:cs="Poppins"/>
          <w:sz w:val="20"/>
          <w:szCs w:val="20"/>
          <w:lang w:val="fr-FR"/>
        </w:rPr>
      </w:pPr>
      <w:r w:rsidRPr="00266BEF">
        <w:rPr>
          <w:rFonts w:ascii="Poppins" w:hAnsi="Poppins" w:cs="Poppins"/>
          <w:sz w:val="20"/>
          <w:szCs w:val="20"/>
          <w:lang w:val="fr-FR"/>
        </w:rPr>
        <w:t xml:space="preserve">Plus précisément, le PLC devrait réaliser les objectifs suivants à la fin de son mandat : </w:t>
      </w:r>
    </w:p>
    <w:p w14:paraId="4697274A" w14:textId="29C7F208" w:rsidR="00465811" w:rsidRPr="00266BEF" w:rsidRDefault="00465811" w:rsidP="00465811">
      <w:pPr>
        <w:pStyle w:val="ListParagraph"/>
        <w:numPr>
          <w:ilvl w:val="0"/>
          <w:numId w:val="4"/>
        </w:numPr>
        <w:jc w:val="both"/>
        <w:rPr>
          <w:rFonts w:ascii="Poppins" w:hAnsi="Poppins" w:cs="Poppins"/>
          <w:sz w:val="20"/>
          <w:szCs w:val="20"/>
          <w:lang w:val="fr-FR"/>
        </w:rPr>
      </w:pPr>
      <w:r w:rsidRPr="00266BEF">
        <w:rPr>
          <w:rFonts w:ascii="Poppins" w:hAnsi="Poppins" w:cs="Poppins"/>
          <w:sz w:val="20"/>
          <w:szCs w:val="20"/>
          <w:lang w:val="fr-FR"/>
        </w:rPr>
        <w:t>Renforcement des capacités en matière de suivi, d'évaluation et d'apprentissage pour les bénéficiaires d</w:t>
      </w:r>
      <w:r w:rsidR="00923DEE">
        <w:rPr>
          <w:rFonts w:ascii="Poppins" w:hAnsi="Poppins" w:cs="Poppins"/>
          <w:sz w:val="20"/>
          <w:szCs w:val="20"/>
          <w:lang w:val="fr-FR"/>
        </w:rPr>
        <w:t>e</w:t>
      </w:r>
      <w:r w:rsidRPr="00266BEF">
        <w:rPr>
          <w:rFonts w:ascii="Poppins" w:hAnsi="Poppins" w:cs="Poppins"/>
          <w:sz w:val="20"/>
          <w:szCs w:val="20"/>
          <w:lang w:val="fr-FR"/>
        </w:rPr>
        <w:t xml:space="preserve"> GCERF.</w:t>
      </w:r>
    </w:p>
    <w:p w14:paraId="2FCB296F" w14:textId="669EDFF1" w:rsidR="00465811" w:rsidRPr="00266BEF" w:rsidRDefault="00465811" w:rsidP="00465811">
      <w:pPr>
        <w:pStyle w:val="ListParagraph"/>
        <w:numPr>
          <w:ilvl w:val="0"/>
          <w:numId w:val="4"/>
        </w:numPr>
        <w:jc w:val="both"/>
        <w:rPr>
          <w:rFonts w:ascii="Poppins" w:hAnsi="Poppins" w:cs="Poppins"/>
          <w:sz w:val="20"/>
          <w:szCs w:val="20"/>
          <w:lang w:val="fr-FR"/>
        </w:rPr>
      </w:pPr>
      <w:r w:rsidRPr="00266BEF">
        <w:rPr>
          <w:rFonts w:ascii="Poppins" w:hAnsi="Poppins" w:cs="Poppins"/>
          <w:sz w:val="20"/>
          <w:szCs w:val="20"/>
          <w:lang w:val="fr-FR"/>
        </w:rPr>
        <w:t>Suivi et évaluations par des tiers</w:t>
      </w:r>
    </w:p>
    <w:p w14:paraId="7021981E" w14:textId="3CFFA5C7" w:rsidR="00465811" w:rsidRPr="00266BEF" w:rsidRDefault="00465811" w:rsidP="00465811">
      <w:pPr>
        <w:pStyle w:val="ListParagraph"/>
        <w:numPr>
          <w:ilvl w:val="0"/>
          <w:numId w:val="4"/>
        </w:numPr>
        <w:jc w:val="both"/>
        <w:rPr>
          <w:rFonts w:ascii="Poppins" w:hAnsi="Poppins" w:cs="Poppins"/>
          <w:sz w:val="20"/>
          <w:szCs w:val="20"/>
          <w:lang w:val="fr-FR"/>
        </w:rPr>
      </w:pPr>
      <w:r w:rsidRPr="00266BEF">
        <w:rPr>
          <w:rFonts w:ascii="Poppins" w:hAnsi="Poppins" w:cs="Poppins"/>
          <w:sz w:val="20"/>
          <w:szCs w:val="20"/>
          <w:lang w:val="fr-FR"/>
        </w:rPr>
        <w:t>Apprentissage, recherche opérationnelle et politique</w:t>
      </w:r>
    </w:p>
    <w:p w14:paraId="60DA1A0A" w14:textId="36879664" w:rsidR="00465811" w:rsidRPr="00266BEF" w:rsidRDefault="00465811" w:rsidP="00465811">
      <w:pPr>
        <w:jc w:val="both"/>
        <w:rPr>
          <w:rFonts w:ascii="Poppins" w:hAnsi="Poppins" w:cs="Poppins"/>
          <w:sz w:val="20"/>
          <w:szCs w:val="20"/>
          <w:lang w:val="fr-FR"/>
        </w:rPr>
      </w:pPr>
      <w:r w:rsidRPr="00266BEF">
        <w:rPr>
          <w:rFonts w:ascii="Poppins" w:hAnsi="Poppins" w:cs="Poppins"/>
          <w:sz w:val="20"/>
          <w:szCs w:val="20"/>
          <w:lang w:val="fr-FR"/>
        </w:rPr>
        <w:t>Les détails de ces activités sont les suivants :</w:t>
      </w:r>
    </w:p>
    <w:p w14:paraId="0AA13EAB" w14:textId="41CE31DC" w:rsidR="00465811" w:rsidRPr="00266BEF" w:rsidRDefault="006C3D45" w:rsidP="00465811">
      <w:pPr>
        <w:pStyle w:val="ListParagraph"/>
        <w:numPr>
          <w:ilvl w:val="0"/>
          <w:numId w:val="6"/>
        </w:numPr>
        <w:jc w:val="both"/>
        <w:rPr>
          <w:rFonts w:ascii="Poppins" w:hAnsi="Poppins" w:cs="Poppins"/>
          <w:b/>
          <w:bCs/>
          <w:sz w:val="20"/>
          <w:szCs w:val="20"/>
          <w:lang w:val="fr-FR"/>
        </w:rPr>
      </w:pPr>
      <w:r w:rsidRPr="00266BEF">
        <w:rPr>
          <w:rFonts w:ascii="Poppins" w:hAnsi="Poppins" w:cs="Poppins"/>
          <w:b/>
          <w:bCs/>
          <w:sz w:val="20"/>
          <w:szCs w:val="20"/>
          <w:lang w:val="fr-FR"/>
        </w:rPr>
        <w:t>Évaluation et renforcement des capacités en matière de suivi, d'évaluation et d'apprentissage</w:t>
      </w:r>
    </w:p>
    <w:p w14:paraId="1E5BA49C" w14:textId="2815455E" w:rsidR="002F224C" w:rsidRPr="00266BEF" w:rsidRDefault="007C329B" w:rsidP="002F224C">
      <w:pPr>
        <w:jc w:val="both"/>
        <w:rPr>
          <w:rFonts w:ascii="Poppins" w:hAnsi="Poppins" w:cs="Poppins"/>
          <w:sz w:val="20"/>
          <w:szCs w:val="20"/>
          <w:lang w:val="fr-FR"/>
        </w:rPr>
      </w:pPr>
      <w:r w:rsidRPr="00266BEF">
        <w:rPr>
          <w:rFonts w:ascii="Poppins" w:hAnsi="Poppins" w:cs="Poppins"/>
          <w:sz w:val="20"/>
          <w:szCs w:val="20"/>
          <w:lang w:val="fr-FR"/>
        </w:rPr>
        <w:t>Il est prévu que les PLC organisent une série d'au moins deux ateliers pour renforcer les capacités des bénéficiaires en matière de suivi et d'évaluation, suivis d'une clinique de suivi et d'évaluation avec les bénéficiaires de manière bilatérale. Le contenu de ces ateliers et de ces stages doit être déterminé par une évaluation des besoins en matière de suivi, d'évaluation et d'apprentissage (</w:t>
      </w:r>
      <w:r w:rsidR="008A0B1F" w:rsidRPr="00266BEF">
        <w:rPr>
          <w:rFonts w:ascii="Poppins" w:hAnsi="Poppins" w:cs="Poppins"/>
          <w:sz w:val="20"/>
          <w:szCs w:val="20"/>
          <w:lang w:val="fr-FR"/>
        </w:rPr>
        <w:t>SEA</w:t>
      </w:r>
      <w:r w:rsidRPr="00266BEF">
        <w:rPr>
          <w:rFonts w:ascii="Poppins" w:hAnsi="Poppins" w:cs="Poppins"/>
          <w:sz w:val="20"/>
          <w:szCs w:val="20"/>
          <w:lang w:val="fr-FR"/>
        </w:rPr>
        <w:t>). Au minimum, l'évaluation doit couvrir les domaines suivants :</w:t>
      </w:r>
    </w:p>
    <w:p w14:paraId="3B37C443" w14:textId="4CD0C51A" w:rsidR="00D635BA" w:rsidRPr="00266BEF" w:rsidRDefault="00D635BA" w:rsidP="00D635BA">
      <w:pPr>
        <w:pStyle w:val="ListParagraph"/>
        <w:numPr>
          <w:ilvl w:val="0"/>
          <w:numId w:val="7"/>
        </w:numPr>
        <w:jc w:val="both"/>
        <w:rPr>
          <w:rFonts w:ascii="Poppins" w:hAnsi="Poppins" w:cs="Poppins"/>
          <w:sz w:val="20"/>
          <w:szCs w:val="20"/>
          <w:lang w:val="fr-FR"/>
        </w:rPr>
      </w:pPr>
      <w:r w:rsidRPr="00266BEF">
        <w:rPr>
          <w:rFonts w:ascii="Poppins" w:hAnsi="Poppins" w:cs="Poppins"/>
          <w:sz w:val="20"/>
          <w:szCs w:val="20"/>
          <w:lang w:val="fr-FR"/>
        </w:rPr>
        <w:t>Le contexte dans lequel le SEA est mis en œuvre au sein de l'organisation.</w:t>
      </w:r>
    </w:p>
    <w:p w14:paraId="65711FAB" w14:textId="53AAB8DC" w:rsidR="00D635BA" w:rsidRPr="00266BEF" w:rsidRDefault="00D635BA" w:rsidP="00D635BA">
      <w:pPr>
        <w:pStyle w:val="ListParagraph"/>
        <w:numPr>
          <w:ilvl w:val="0"/>
          <w:numId w:val="7"/>
        </w:numPr>
        <w:jc w:val="both"/>
        <w:rPr>
          <w:rFonts w:ascii="Poppins" w:hAnsi="Poppins" w:cs="Poppins"/>
          <w:sz w:val="20"/>
          <w:szCs w:val="20"/>
          <w:lang w:val="fr-FR"/>
        </w:rPr>
      </w:pPr>
      <w:r w:rsidRPr="00266BEF">
        <w:rPr>
          <w:rFonts w:ascii="Poppins" w:hAnsi="Poppins" w:cs="Poppins"/>
          <w:sz w:val="20"/>
          <w:szCs w:val="20"/>
          <w:lang w:val="fr-FR"/>
        </w:rPr>
        <w:t xml:space="preserve">Comment les données sont collectées, analysées et utilisées. </w:t>
      </w:r>
    </w:p>
    <w:p w14:paraId="3FD8E173" w14:textId="12CF35D2" w:rsidR="00D635BA" w:rsidRPr="00266BEF" w:rsidRDefault="00D635BA" w:rsidP="00D635BA">
      <w:pPr>
        <w:pStyle w:val="ListParagraph"/>
        <w:numPr>
          <w:ilvl w:val="0"/>
          <w:numId w:val="7"/>
        </w:numPr>
        <w:jc w:val="both"/>
        <w:rPr>
          <w:rFonts w:ascii="Poppins" w:hAnsi="Poppins" w:cs="Poppins"/>
          <w:sz w:val="20"/>
          <w:szCs w:val="20"/>
          <w:lang w:val="fr-FR"/>
        </w:rPr>
      </w:pPr>
      <w:r w:rsidRPr="00266BEF">
        <w:rPr>
          <w:rFonts w:ascii="Poppins" w:hAnsi="Poppins" w:cs="Poppins"/>
          <w:sz w:val="20"/>
          <w:szCs w:val="20"/>
          <w:lang w:val="fr-FR"/>
        </w:rPr>
        <w:t xml:space="preserve">Comment les activités de SEA sont mises en œuvre, y compris la disponibilité d'outils et de mécanismes pour assurer la qualité des données. </w:t>
      </w:r>
    </w:p>
    <w:p w14:paraId="4FA5F5B4" w14:textId="660A0A7B" w:rsidR="007C329B" w:rsidRPr="00266BEF" w:rsidRDefault="00D635BA" w:rsidP="00D635BA">
      <w:pPr>
        <w:pStyle w:val="ListParagraph"/>
        <w:numPr>
          <w:ilvl w:val="0"/>
          <w:numId w:val="7"/>
        </w:numPr>
        <w:jc w:val="both"/>
        <w:rPr>
          <w:rFonts w:ascii="Poppins" w:hAnsi="Poppins" w:cs="Poppins"/>
          <w:sz w:val="20"/>
          <w:szCs w:val="20"/>
          <w:lang w:val="fr-FR"/>
        </w:rPr>
      </w:pPr>
      <w:r w:rsidRPr="00266BEF">
        <w:rPr>
          <w:rFonts w:ascii="Poppins" w:hAnsi="Poppins" w:cs="Poppins"/>
          <w:sz w:val="20"/>
          <w:szCs w:val="20"/>
          <w:lang w:val="fr-FR"/>
        </w:rPr>
        <w:t>Comment les données de suivi et d'évaluation sont utilisées pour améliorer l'apprentissage programmatique et opérationnel.</w:t>
      </w:r>
    </w:p>
    <w:p w14:paraId="4A62B4F0" w14:textId="4804D03C" w:rsidR="00D753AC" w:rsidRPr="00266BEF" w:rsidRDefault="002A3683" w:rsidP="002F224C">
      <w:pPr>
        <w:jc w:val="both"/>
        <w:rPr>
          <w:rFonts w:ascii="Poppins" w:hAnsi="Poppins" w:cs="Poppins"/>
          <w:sz w:val="20"/>
          <w:szCs w:val="20"/>
          <w:lang w:val="fr-FR"/>
        </w:rPr>
      </w:pPr>
      <w:r w:rsidRPr="00266BEF">
        <w:rPr>
          <w:rFonts w:ascii="Poppins" w:hAnsi="Poppins" w:cs="Poppins"/>
          <w:sz w:val="20"/>
          <w:szCs w:val="20"/>
          <w:lang w:val="fr-FR"/>
        </w:rPr>
        <w:t>Le renforcement des capacités doit être ajusté et fondé sur l'évaluation initiale. Cette évaluation devrait être réalisée dans les quatre premiers mois suivant la signature de la subvention. À la fin de la mise en œuvre, le partenaire doit évaluer dans quelle mesure les problèmes identifiés lors de l'évaluation initiale ont été résolus. Cela devrait idéalement se faire avant la clôture de la subvention.</w:t>
      </w:r>
    </w:p>
    <w:p w14:paraId="4E978F2E" w14:textId="77777777" w:rsidR="00D753AC" w:rsidRPr="00266BEF" w:rsidRDefault="00D753AC" w:rsidP="002F224C">
      <w:pPr>
        <w:jc w:val="both"/>
        <w:rPr>
          <w:rFonts w:ascii="Poppins" w:hAnsi="Poppins" w:cs="Poppins"/>
          <w:sz w:val="20"/>
          <w:szCs w:val="20"/>
          <w:lang w:val="fr-FR"/>
        </w:rPr>
      </w:pPr>
    </w:p>
    <w:p w14:paraId="156ABE02" w14:textId="73659C56" w:rsidR="006C3D45" w:rsidRPr="00266BEF" w:rsidRDefault="008C36F9" w:rsidP="00465811">
      <w:pPr>
        <w:pStyle w:val="ListParagraph"/>
        <w:numPr>
          <w:ilvl w:val="0"/>
          <w:numId w:val="6"/>
        </w:numPr>
        <w:jc w:val="both"/>
        <w:rPr>
          <w:rFonts w:ascii="Poppins" w:hAnsi="Poppins" w:cs="Poppins"/>
          <w:b/>
          <w:bCs/>
          <w:sz w:val="20"/>
          <w:szCs w:val="20"/>
          <w:lang w:val="fr-FR"/>
        </w:rPr>
      </w:pPr>
      <w:r w:rsidRPr="00266BEF">
        <w:rPr>
          <w:rFonts w:ascii="Poppins" w:hAnsi="Poppins" w:cs="Poppins"/>
          <w:b/>
          <w:bCs/>
          <w:sz w:val="20"/>
          <w:szCs w:val="20"/>
          <w:lang w:val="fr-FR"/>
        </w:rPr>
        <w:lastRenderedPageBreak/>
        <w:t>Suivi et évaluations par des tiers</w:t>
      </w:r>
    </w:p>
    <w:p w14:paraId="2ABA100B" w14:textId="39976AAE" w:rsidR="00B04139" w:rsidRPr="00266BEF" w:rsidRDefault="00B04139" w:rsidP="00B04139">
      <w:pPr>
        <w:jc w:val="both"/>
        <w:rPr>
          <w:rFonts w:ascii="Poppins" w:hAnsi="Poppins" w:cs="Poppins"/>
          <w:sz w:val="20"/>
          <w:szCs w:val="20"/>
          <w:lang w:val="fr-FR"/>
        </w:rPr>
      </w:pPr>
      <w:r w:rsidRPr="00266BEF">
        <w:rPr>
          <w:rFonts w:ascii="Poppins" w:hAnsi="Poppins" w:cs="Poppins"/>
          <w:sz w:val="20"/>
          <w:szCs w:val="20"/>
          <w:lang w:val="fr-FR"/>
        </w:rPr>
        <w:t>Au cours du cycle de mise en œuvre de la subvention (2023 - 2026), l</w:t>
      </w:r>
      <w:r w:rsidR="00C510C4" w:rsidRPr="00266BEF">
        <w:rPr>
          <w:rFonts w:ascii="Poppins" w:hAnsi="Poppins" w:cs="Poppins"/>
          <w:sz w:val="20"/>
          <w:szCs w:val="20"/>
          <w:lang w:val="fr-FR"/>
        </w:rPr>
        <w:t xml:space="preserve">e partenaire </w:t>
      </w:r>
      <w:r w:rsidRPr="00266BEF">
        <w:rPr>
          <w:rFonts w:ascii="Poppins" w:hAnsi="Poppins" w:cs="Poppins"/>
          <w:sz w:val="20"/>
          <w:szCs w:val="20"/>
          <w:lang w:val="fr-FR"/>
        </w:rPr>
        <w:t>doi</w:t>
      </w:r>
      <w:r w:rsidR="00C510C4" w:rsidRPr="00266BEF">
        <w:rPr>
          <w:rFonts w:ascii="Poppins" w:hAnsi="Poppins" w:cs="Poppins"/>
          <w:sz w:val="20"/>
          <w:szCs w:val="20"/>
          <w:lang w:val="fr-FR"/>
        </w:rPr>
        <w:t xml:space="preserve">t </w:t>
      </w:r>
      <w:r w:rsidRPr="00266BEF">
        <w:rPr>
          <w:rFonts w:ascii="Poppins" w:hAnsi="Poppins" w:cs="Poppins"/>
          <w:sz w:val="20"/>
          <w:szCs w:val="20"/>
          <w:lang w:val="fr-FR"/>
        </w:rPr>
        <w:t xml:space="preserve">mener deux exercices, et soutenir les bénéficiaires avec un troisième. </w:t>
      </w:r>
    </w:p>
    <w:p w14:paraId="6BD64897" w14:textId="166D1F0C" w:rsidR="00B04139" w:rsidRPr="00266BEF" w:rsidRDefault="00B04139" w:rsidP="00B04139">
      <w:pPr>
        <w:jc w:val="both"/>
        <w:rPr>
          <w:rFonts w:ascii="Poppins" w:hAnsi="Poppins" w:cs="Poppins"/>
          <w:sz w:val="20"/>
          <w:szCs w:val="20"/>
          <w:lang w:val="fr-FR"/>
        </w:rPr>
      </w:pPr>
      <w:r w:rsidRPr="00266BEF">
        <w:rPr>
          <w:rFonts w:ascii="Poppins" w:hAnsi="Poppins" w:cs="Poppins"/>
          <w:sz w:val="20"/>
          <w:szCs w:val="20"/>
          <w:lang w:val="fr-FR"/>
        </w:rPr>
        <w:t>Le premier exercice est un suivi par une tierce partie des subventions actuelles financées par GCERF, actuellement au nombre de 3 à la fin de 2023. Cette activité devrait inclure un atelier de validation avec les bénéficiaires et GCERF, et aboutir à des recommandations pour améliorer la qualité de la programmation.</w:t>
      </w:r>
    </w:p>
    <w:p w14:paraId="55646C2E" w14:textId="66D041E1" w:rsidR="00B04139" w:rsidRPr="00266BEF" w:rsidRDefault="00B04139" w:rsidP="00B04139">
      <w:pPr>
        <w:jc w:val="both"/>
        <w:rPr>
          <w:rFonts w:ascii="Poppins" w:hAnsi="Poppins" w:cs="Poppins"/>
          <w:sz w:val="20"/>
          <w:szCs w:val="20"/>
          <w:lang w:val="fr-FR"/>
        </w:rPr>
      </w:pPr>
      <w:r w:rsidRPr="00266BEF">
        <w:rPr>
          <w:rFonts w:ascii="Poppins" w:hAnsi="Poppins" w:cs="Poppins"/>
          <w:sz w:val="20"/>
          <w:szCs w:val="20"/>
          <w:lang w:val="fr-FR"/>
        </w:rPr>
        <w:t>Le deuxième exercice est une évaluation à mi-parcours qui sera menée par les bénéficiaires. Le rôle du PLC sera d'aider les bénéficiaires à utiliser des méthodes d'évaluation axées sur l'utilisation (comme la récolte des résultats) et tenant compte de la complexité pour réaliser une évaluation à mi-parcours en 2024.</w:t>
      </w:r>
    </w:p>
    <w:p w14:paraId="25920851" w14:textId="1B7E6E01" w:rsidR="00B04139" w:rsidRPr="00266BEF" w:rsidRDefault="00B04139" w:rsidP="00B04139">
      <w:pPr>
        <w:jc w:val="both"/>
        <w:rPr>
          <w:rFonts w:ascii="Poppins" w:hAnsi="Poppins" w:cs="Poppins"/>
          <w:sz w:val="20"/>
          <w:szCs w:val="20"/>
          <w:lang w:val="fr-FR"/>
        </w:rPr>
      </w:pPr>
      <w:r w:rsidRPr="00266BEF">
        <w:rPr>
          <w:rFonts w:ascii="Poppins" w:hAnsi="Poppins" w:cs="Poppins"/>
          <w:sz w:val="20"/>
          <w:szCs w:val="20"/>
          <w:lang w:val="fr-FR"/>
        </w:rPr>
        <w:t>Le troisième et dernier exercice sera une évaluation externe des subventions financées par GCERF en Tunisie en 2025, complétée par un volet portant sur le portefeuille pays d</w:t>
      </w:r>
      <w:r w:rsidR="00923DEE">
        <w:rPr>
          <w:rFonts w:ascii="Poppins" w:hAnsi="Poppins" w:cs="Poppins"/>
          <w:sz w:val="20"/>
          <w:szCs w:val="20"/>
          <w:lang w:val="fr-FR"/>
        </w:rPr>
        <w:t>e</w:t>
      </w:r>
      <w:r w:rsidRPr="00266BEF">
        <w:rPr>
          <w:rFonts w:ascii="Poppins" w:hAnsi="Poppins" w:cs="Poppins"/>
          <w:sz w:val="20"/>
          <w:szCs w:val="20"/>
          <w:lang w:val="fr-FR"/>
        </w:rPr>
        <w:t xml:space="preserve"> GCERF dans son ensemble. Il est prévu que ces évaluations soient des évaluations théoriques, utilisant à la fois les </w:t>
      </w:r>
      <w:proofErr w:type="spellStart"/>
      <w:r w:rsidRPr="00266BEF">
        <w:rPr>
          <w:rFonts w:ascii="Poppins" w:hAnsi="Poppins" w:cs="Poppins"/>
          <w:sz w:val="20"/>
          <w:szCs w:val="20"/>
          <w:lang w:val="fr-FR"/>
        </w:rPr>
        <w:t>TdC</w:t>
      </w:r>
      <w:proofErr w:type="spellEnd"/>
      <w:r w:rsidRPr="00266BEF">
        <w:rPr>
          <w:rFonts w:ascii="Poppins" w:hAnsi="Poppins" w:cs="Poppins"/>
          <w:sz w:val="20"/>
          <w:szCs w:val="20"/>
          <w:lang w:val="fr-FR"/>
        </w:rPr>
        <w:t xml:space="preserve"> au niveau de la subvention, et au niveau du pays.</w:t>
      </w:r>
    </w:p>
    <w:p w14:paraId="1C2B88B4" w14:textId="6361D1D4" w:rsidR="002F224C" w:rsidRPr="00266BEF" w:rsidRDefault="00B04139" w:rsidP="00B04139">
      <w:pPr>
        <w:jc w:val="both"/>
        <w:rPr>
          <w:rFonts w:ascii="Poppins" w:hAnsi="Poppins" w:cs="Poppins"/>
          <w:sz w:val="20"/>
          <w:szCs w:val="20"/>
          <w:lang w:val="fr-FR"/>
        </w:rPr>
      </w:pPr>
      <w:r w:rsidRPr="00266BEF">
        <w:rPr>
          <w:rFonts w:ascii="Poppins" w:hAnsi="Poppins" w:cs="Poppins"/>
          <w:sz w:val="20"/>
          <w:szCs w:val="20"/>
          <w:lang w:val="fr-FR"/>
        </w:rPr>
        <w:t>Le calendrier exact de la mise en œuvre de toutes les activités sera discuté au début du projet. Afin de réaliser des économies d'échelle et de faciliter le processus d'intégration du PLC dans le réseau des bénéficiaires en Tunisie, il est prévu que le PLC considère ces exercices comme faisant partie d'un grand processus d'évaluation systémique des subventions d</w:t>
      </w:r>
      <w:r w:rsidR="00923DEE">
        <w:rPr>
          <w:rFonts w:ascii="Poppins" w:hAnsi="Poppins" w:cs="Poppins"/>
          <w:sz w:val="20"/>
          <w:szCs w:val="20"/>
          <w:lang w:val="fr-FR"/>
        </w:rPr>
        <w:t>e</w:t>
      </w:r>
      <w:r w:rsidRPr="00266BEF">
        <w:rPr>
          <w:rFonts w:ascii="Poppins" w:hAnsi="Poppins" w:cs="Poppins"/>
          <w:sz w:val="20"/>
          <w:szCs w:val="20"/>
          <w:lang w:val="fr-FR"/>
        </w:rPr>
        <w:t xml:space="preserve"> GCERF Tunisie.</w:t>
      </w:r>
    </w:p>
    <w:p w14:paraId="3F34DBB3" w14:textId="63C26127" w:rsidR="00CD750D" w:rsidRPr="00266BEF" w:rsidRDefault="002F224C" w:rsidP="00CD750D">
      <w:pPr>
        <w:pStyle w:val="ListParagraph"/>
        <w:numPr>
          <w:ilvl w:val="0"/>
          <w:numId w:val="6"/>
        </w:numPr>
        <w:jc w:val="both"/>
        <w:rPr>
          <w:rFonts w:ascii="Poppins" w:hAnsi="Poppins" w:cs="Poppins"/>
          <w:b/>
          <w:bCs/>
          <w:sz w:val="20"/>
          <w:szCs w:val="20"/>
          <w:lang w:val="fr-FR"/>
        </w:rPr>
      </w:pPr>
      <w:r w:rsidRPr="00266BEF">
        <w:rPr>
          <w:rFonts w:ascii="Poppins" w:hAnsi="Poppins" w:cs="Poppins"/>
          <w:b/>
          <w:bCs/>
          <w:sz w:val="20"/>
          <w:szCs w:val="20"/>
          <w:lang w:val="fr-FR"/>
        </w:rPr>
        <w:t>Apprentissage, recherche opérationnelle et politique</w:t>
      </w:r>
    </w:p>
    <w:p w14:paraId="2F688311" w14:textId="337F8B6D" w:rsidR="00CD750D" w:rsidRPr="00266BEF" w:rsidRDefault="00CD750D" w:rsidP="00CD750D">
      <w:pPr>
        <w:jc w:val="both"/>
        <w:rPr>
          <w:rFonts w:ascii="Poppins" w:hAnsi="Poppins" w:cs="Poppins"/>
          <w:sz w:val="20"/>
          <w:szCs w:val="20"/>
          <w:lang w:val="fr-FR"/>
        </w:rPr>
      </w:pPr>
      <w:r w:rsidRPr="00266BEF">
        <w:rPr>
          <w:rFonts w:ascii="Poppins" w:hAnsi="Poppins" w:cs="Poppins"/>
          <w:sz w:val="20"/>
          <w:szCs w:val="20"/>
          <w:lang w:val="fr-FR"/>
        </w:rPr>
        <w:t>Le PLC est tenu de mener au moins une recherche opérationnelle ciblée pendant la période de subvention. Cet exercice fournira des informations sur le contexte plus large de l'environnement de la PEV et aidera GCERF, le gouvernement et les bénéficiaires à préparer une réponse programmatique plus ciblée. Pour la communauté des donateurs, ce résultat fournira des domaines de besoins et des opportunités de financement.  Les thèmes de cette recherche sont ouverts mais doivent être en adéquation avec les priorités de programmation de la PEV du gouvernement tunisien. Les thèmes seront approuvés au préalable.</w:t>
      </w:r>
    </w:p>
    <w:p w14:paraId="72602CEB" w14:textId="57FD1E9D" w:rsidR="00945CC1" w:rsidRPr="00266BEF" w:rsidRDefault="00945CC1" w:rsidP="00945CC1">
      <w:pPr>
        <w:jc w:val="both"/>
        <w:rPr>
          <w:rFonts w:ascii="Poppins" w:hAnsi="Poppins" w:cs="Poppins"/>
          <w:sz w:val="20"/>
          <w:szCs w:val="20"/>
          <w:lang w:val="fr-FR"/>
        </w:rPr>
      </w:pPr>
      <w:r w:rsidRPr="00266BEF">
        <w:rPr>
          <w:rFonts w:ascii="Poppins" w:hAnsi="Poppins" w:cs="Poppins"/>
          <w:sz w:val="20"/>
          <w:szCs w:val="20"/>
          <w:lang w:val="fr-FR"/>
        </w:rPr>
        <w:t>En plus de la recherche, le PLC doit élaborer au moins un document de politique générale reprenant les enseignements tirés des programmes sur la base du suivi et des évaluations par des tiers effectués tout au long du programme (et si possible, sur la base de la recherche opérationnelle effectuée). Le thème du document de politique sera discuté en temps voulu.</w:t>
      </w:r>
    </w:p>
    <w:p w14:paraId="7B534AAD" w14:textId="2E3D4A26" w:rsidR="00E82406" w:rsidRPr="00266BEF" w:rsidRDefault="00945CC1" w:rsidP="00945CC1">
      <w:pPr>
        <w:jc w:val="both"/>
        <w:rPr>
          <w:rFonts w:ascii="Poppins" w:hAnsi="Poppins" w:cs="Poppins"/>
          <w:sz w:val="20"/>
          <w:szCs w:val="20"/>
          <w:lang w:val="fr-FR"/>
        </w:rPr>
      </w:pPr>
      <w:r w:rsidRPr="00266BEF">
        <w:rPr>
          <w:rFonts w:ascii="Poppins" w:hAnsi="Poppins" w:cs="Poppins"/>
          <w:sz w:val="20"/>
          <w:szCs w:val="20"/>
          <w:lang w:val="fr-FR"/>
        </w:rPr>
        <w:t>Enfin, GCERF vise à accueillir deux exercices d'apprentissage parmi ses bénéficiaires au cours du cycle de subvention. Bien que l'organisation des échanges d'apprentissage soit de la responsabilité d</w:t>
      </w:r>
      <w:r w:rsidR="00923DEE">
        <w:rPr>
          <w:rFonts w:ascii="Poppins" w:hAnsi="Poppins" w:cs="Poppins"/>
          <w:sz w:val="20"/>
          <w:szCs w:val="20"/>
          <w:lang w:val="fr-FR"/>
        </w:rPr>
        <w:t>e</w:t>
      </w:r>
      <w:r w:rsidRPr="00266BEF">
        <w:rPr>
          <w:rFonts w:ascii="Poppins" w:hAnsi="Poppins" w:cs="Poppins"/>
          <w:sz w:val="20"/>
          <w:szCs w:val="20"/>
          <w:lang w:val="fr-FR"/>
        </w:rPr>
        <w:t xml:space="preserve"> GCERF, ce dernier souhaiterait le soutien du partenaire local de connaissances pour concevoir et modérer les exercices.</w:t>
      </w:r>
    </w:p>
    <w:p w14:paraId="0E54B9E1" w14:textId="3B29F301" w:rsidR="00AA356B" w:rsidRPr="00266BEF" w:rsidRDefault="00AA356B" w:rsidP="00945CC1">
      <w:pPr>
        <w:jc w:val="both"/>
        <w:rPr>
          <w:rFonts w:ascii="Poppins" w:hAnsi="Poppins" w:cs="Poppins"/>
          <w:b/>
          <w:bCs/>
          <w:sz w:val="20"/>
          <w:szCs w:val="20"/>
          <w:lang w:val="fr-FR"/>
        </w:rPr>
      </w:pPr>
      <w:r w:rsidRPr="00266BEF">
        <w:rPr>
          <w:rFonts w:ascii="Poppins" w:hAnsi="Poppins" w:cs="Poppins"/>
          <w:b/>
          <w:bCs/>
          <w:sz w:val="20"/>
          <w:szCs w:val="20"/>
          <w:lang w:val="fr-FR"/>
        </w:rPr>
        <w:lastRenderedPageBreak/>
        <w:t xml:space="preserve">Montant de la subvention  </w:t>
      </w:r>
    </w:p>
    <w:p w14:paraId="535C4148" w14:textId="71FAF56A" w:rsidR="00AA356B" w:rsidRPr="00266BEF" w:rsidRDefault="00261C9B" w:rsidP="00945CC1">
      <w:pPr>
        <w:jc w:val="both"/>
        <w:rPr>
          <w:rFonts w:ascii="Poppins" w:hAnsi="Poppins" w:cs="Poppins"/>
          <w:sz w:val="20"/>
          <w:szCs w:val="20"/>
          <w:lang w:val="fr-FR"/>
        </w:rPr>
      </w:pPr>
      <w:r w:rsidRPr="00266BEF">
        <w:rPr>
          <w:rFonts w:ascii="Poppins" w:hAnsi="Poppins" w:cs="Poppins"/>
          <w:sz w:val="20"/>
          <w:szCs w:val="20"/>
          <w:lang w:val="fr-FR"/>
        </w:rPr>
        <w:t xml:space="preserve">GCERF a l'intention de signer un accord de 250K USD d'ici </w:t>
      </w:r>
      <w:r w:rsidR="00A71D55">
        <w:rPr>
          <w:rFonts w:ascii="Poppins" w:hAnsi="Poppins" w:cs="Poppins"/>
          <w:sz w:val="20"/>
          <w:szCs w:val="20"/>
          <w:lang w:val="fr-FR"/>
        </w:rPr>
        <w:t>le début</w:t>
      </w:r>
      <w:r w:rsidRPr="00266BEF">
        <w:rPr>
          <w:rFonts w:ascii="Poppins" w:hAnsi="Poppins" w:cs="Poppins"/>
          <w:sz w:val="20"/>
          <w:szCs w:val="20"/>
          <w:lang w:val="fr-FR"/>
        </w:rPr>
        <w:t xml:space="preserve"> 202</w:t>
      </w:r>
      <w:r w:rsidR="00A71D55">
        <w:rPr>
          <w:rFonts w:ascii="Poppins" w:hAnsi="Poppins" w:cs="Poppins"/>
          <w:sz w:val="20"/>
          <w:szCs w:val="20"/>
          <w:lang w:val="fr-FR"/>
        </w:rPr>
        <w:t>3</w:t>
      </w:r>
      <w:r w:rsidRPr="00266BEF">
        <w:rPr>
          <w:rFonts w:ascii="Poppins" w:hAnsi="Poppins" w:cs="Poppins"/>
          <w:sz w:val="20"/>
          <w:szCs w:val="20"/>
          <w:lang w:val="fr-FR"/>
        </w:rPr>
        <w:t>. La subvention sera fournie par le biais du mécanisme de financement de base d</w:t>
      </w:r>
      <w:r w:rsidR="00923DEE">
        <w:rPr>
          <w:rFonts w:ascii="Poppins" w:hAnsi="Poppins" w:cs="Poppins"/>
          <w:sz w:val="20"/>
          <w:szCs w:val="20"/>
          <w:lang w:val="fr-FR"/>
        </w:rPr>
        <w:t xml:space="preserve">e </w:t>
      </w:r>
      <w:r w:rsidRPr="00266BEF">
        <w:rPr>
          <w:rFonts w:ascii="Poppins" w:hAnsi="Poppins" w:cs="Poppins"/>
          <w:sz w:val="20"/>
          <w:szCs w:val="20"/>
          <w:lang w:val="fr-FR"/>
        </w:rPr>
        <w:t>GCERF.</w:t>
      </w:r>
    </w:p>
    <w:p w14:paraId="61B1A74B" w14:textId="6842C113" w:rsidR="00261C9B" w:rsidRPr="00266BEF" w:rsidRDefault="00261C9B" w:rsidP="00945CC1">
      <w:pPr>
        <w:jc w:val="both"/>
        <w:rPr>
          <w:rFonts w:ascii="Poppins" w:hAnsi="Poppins" w:cs="Poppins"/>
          <w:b/>
          <w:bCs/>
          <w:sz w:val="20"/>
          <w:szCs w:val="20"/>
          <w:lang w:val="fr-FR"/>
        </w:rPr>
      </w:pPr>
      <w:r w:rsidRPr="00266BEF">
        <w:rPr>
          <w:rFonts w:ascii="Poppins" w:hAnsi="Poppins" w:cs="Poppins"/>
          <w:b/>
          <w:bCs/>
          <w:sz w:val="20"/>
          <w:szCs w:val="20"/>
          <w:lang w:val="fr-FR"/>
        </w:rPr>
        <w:t>Durée de la subvention</w:t>
      </w:r>
    </w:p>
    <w:p w14:paraId="63F5D85B" w14:textId="1231F8BE" w:rsidR="006161A3" w:rsidRPr="00266BEF" w:rsidRDefault="001A33A5" w:rsidP="00945CC1">
      <w:pPr>
        <w:jc w:val="both"/>
        <w:rPr>
          <w:rFonts w:ascii="Poppins" w:hAnsi="Poppins" w:cs="Poppins"/>
          <w:sz w:val="20"/>
          <w:szCs w:val="20"/>
          <w:lang w:val="fr-FR"/>
        </w:rPr>
      </w:pPr>
      <w:r w:rsidRPr="00266BEF">
        <w:rPr>
          <w:rFonts w:ascii="Poppins" w:hAnsi="Poppins" w:cs="Poppins"/>
          <w:sz w:val="20"/>
          <w:szCs w:val="20"/>
          <w:lang w:val="fr-FR"/>
        </w:rPr>
        <w:t>Les subventions seront d'une durée minimale de 36 mois.</w:t>
      </w:r>
    </w:p>
    <w:p w14:paraId="222044A7" w14:textId="2D3EF862" w:rsidR="001A33A5" w:rsidRPr="00266BEF" w:rsidRDefault="00C25172" w:rsidP="00945CC1">
      <w:pPr>
        <w:jc w:val="both"/>
        <w:rPr>
          <w:rFonts w:ascii="Poppins" w:hAnsi="Poppins" w:cs="Poppins"/>
          <w:b/>
          <w:bCs/>
          <w:sz w:val="20"/>
          <w:szCs w:val="20"/>
          <w:lang w:val="fr-FR"/>
        </w:rPr>
      </w:pPr>
      <w:r w:rsidRPr="00266BEF">
        <w:rPr>
          <w:rFonts w:ascii="Poppins" w:hAnsi="Poppins" w:cs="Poppins"/>
          <w:b/>
          <w:bCs/>
          <w:sz w:val="20"/>
          <w:szCs w:val="20"/>
          <w:lang w:val="fr-FR"/>
        </w:rPr>
        <w:t>Exigences relatives au partenaire local de connaissances/au bénéficiaire de la subvention</w:t>
      </w:r>
    </w:p>
    <w:p w14:paraId="67D9693E" w14:textId="6B9C6CAE" w:rsidR="007C7A3E" w:rsidRPr="00266BEF" w:rsidRDefault="007A6A08" w:rsidP="007C7A3E">
      <w:pPr>
        <w:jc w:val="both"/>
        <w:rPr>
          <w:rFonts w:ascii="Poppins" w:hAnsi="Poppins" w:cs="Poppins"/>
          <w:sz w:val="20"/>
          <w:szCs w:val="20"/>
          <w:lang w:val="fr-FR"/>
        </w:rPr>
      </w:pPr>
      <w:r w:rsidRPr="00266BEF">
        <w:rPr>
          <w:rFonts w:ascii="Poppins" w:hAnsi="Poppins"/>
          <w:color w:val="000000"/>
          <w:sz w:val="20"/>
          <w:lang w:val="fr-FR"/>
        </w:rPr>
        <w:t xml:space="preserve">Le partenaire local en matière de connaissance doit être un bénéficiaire direct ou un consortium d’institutions académiques, de centres de recherche ou de groupes de réflexion dirigé par un Récipiendaire principal (RP) qui sera garant de la distribution des financements secondaires aux autres membres du consortium (Récipiendaires secondaires). </w:t>
      </w:r>
      <w:r w:rsidR="007C7A3E" w:rsidRPr="00266BEF">
        <w:rPr>
          <w:rFonts w:ascii="Poppins" w:hAnsi="Poppins" w:cs="Poppins"/>
          <w:sz w:val="20"/>
          <w:szCs w:val="20"/>
          <w:lang w:val="fr-FR"/>
        </w:rPr>
        <w:t xml:space="preserve">L'organisation doit avoir une présence en Tunisie. </w:t>
      </w:r>
    </w:p>
    <w:p w14:paraId="120A803E" w14:textId="0D04D819" w:rsidR="000929FF" w:rsidRPr="00266BEF" w:rsidRDefault="000929FF" w:rsidP="000929FF">
      <w:pPr>
        <w:widowControl w:val="0"/>
        <w:autoSpaceDE w:val="0"/>
        <w:autoSpaceDN w:val="0"/>
        <w:adjustRightInd w:val="0"/>
        <w:spacing w:before="2" w:after="0"/>
        <w:ind w:right="53"/>
        <w:jc w:val="both"/>
        <w:rPr>
          <w:rFonts w:ascii="Poppins" w:hAnsi="Poppins" w:cs="Poppins"/>
          <w:color w:val="000000"/>
          <w:sz w:val="20"/>
          <w:szCs w:val="20"/>
          <w:lang w:val="fr-FR"/>
        </w:rPr>
      </w:pPr>
      <w:r w:rsidRPr="00266BEF">
        <w:rPr>
          <w:rFonts w:ascii="Poppins" w:hAnsi="Poppins"/>
          <w:color w:val="000000"/>
          <w:sz w:val="20"/>
          <w:lang w:val="fr-FR"/>
        </w:rPr>
        <w:t>En raison de l’engagement pris par GCERF de financer des acteurs locaux, si le bénéficiaire retenu est basé et immatriculé localement, mais fait partie d’un réseau international d’organisations, le financement du Fonds doit servir principalement au personnel et à l’expertise basés en Tunisie. De ce fait, les ressources destinées au personnel ou à l’appui hors Tunisie devraient être plafonnées à 10 % de la valeur totale du financement. L’organisation dirigeante du consortium récipiendaire doit être une organisation à but non lucratif, toutefois des organisations à but lucratif peuvent en faire partie en qualité de récipiendaires secondaires.</w:t>
      </w:r>
      <w:r w:rsidR="005917ED" w:rsidRPr="00266BEF">
        <w:rPr>
          <w:rFonts w:ascii="Poppins" w:hAnsi="Poppins"/>
          <w:color w:val="000000"/>
          <w:sz w:val="20"/>
          <w:lang w:val="fr-FR"/>
        </w:rPr>
        <w:t xml:space="preserve"> </w:t>
      </w:r>
    </w:p>
    <w:p w14:paraId="49762AB7" w14:textId="77777777" w:rsidR="000929FF" w:rsidRPr="00266BEF" w:rsidRDefault="000929FF" w:rsidP="007C7A3E">
      <w:pPr>
        <w:jc w:val="both"/>
        <w:rPr>
          <w:rFonts w:ascii="Poppins" w:hAnsi="Poppins" w:cs="Poppins"/>
          <w:b/>
          <w:bCs/>
          <w:sz w:val="20"/>
          <w:szCs w:val="20"/>
          <w:lang w:val="fr-FR"/>
        </w:rPr>
      </w:pPr>
    </w:p>
    <w:p w14:paraId="0A98DC2D" w14:textId="43F92E68" w:rsidR="00FC7CF1" w:rsidRPr="00266BEF" w:rsidRDefault="00FC7CF1" w:rsidP="007C7A3E">
      <w:pPr>
        <w:jc w:val="both"/>
        <w:rPr>
          <w:rFonts w:ascii="Poppins" w:hAnsi="Poppins" w:cs="Poppins"/>
          <w:b/>
          <w:bCs/>
          <w:sz w:val="20"/>
          <w:szCs w:val="20"/>
          <w:lang w:val="fr-FR"/>
        </w:rPr>
      </w:pPr>
      <w:r w:rsidRPr="00266BEF">
        <w:rPr>
          <w:rFonts w:ascii="Poppins" w:hAnsi="Poppins" w:cs="Poppins"/>
          <w:b/>
          <w:bCs/>
          <w:sz w:val="20"/>
          <w:szCs w:val="20"/>
          <w:lang w:val="fr-FR"/>
        </w:rPr>
        <w:t>Manifestations d'intérêt</w:t>
      </w:r>
    </w:p>
    <w:p w14:paraId="2FF6D1BC" w14:textId="77777777" w:rsidR="004237C7" w:rsidRPr="00266BEF" w:rsidRDefault="004237C7" w:rsidP="004237C7">
      <w:pPr>
        <w:pStyle w:val="paragraph"/>
        <w:spacing w:before="0" w:beforeAutospacing="0" w:after="0" w:afterAutospacing="0"/>
        <w:jc w:val="both"/>
        <w:textAlignment w:val="baseline"/>
        <w:rPr>
          <w:rStyle w:val="eop"/>
          <w:rFonts w:ascii="Poppins" w:hAnsi="Poppins" w:cs="Poppins"/>
          <w:sz w:val="20"/>
          <w:szCs w:val="20"/>
        </w:rPr>
      </w:pPr>
      <w:r w:rsidRPr="00266BEF">
        <w:rPr>
          <w:rStyle w:val="normaltextrun"/>
          <w:rFonts w:ascii="Poppins" w:hAnsi="Poppins"/>
          <w:sz w:val="20"/>
        </w:rPr>
        <w:t>Les organisations candidates doivent prouver qu’elles respectent les prérequis établis par GCERF et possèdent les capacités requises pour devenir un Récipiendaire principal de financements du Fonds.</w:t>
      </w:r>
      <w:r w:rsidRPr="00266BEF">
        <w:rPr>
          <w:rStyle w:val="eop"/>
          <w:rFonts w:ascii="Poppins" w:hAnsi="Poppins"/>
          <w:sz w:val="20"/>
        </w:rPr>
        <w:t> </w:t>
      </w:r>
    </w:p>
    <w:p w14:paraId="281C23F6" w14:textId="57968DAB" w:rsidR="00141084" w:rsidRPr="00266BEF" w:rsidRDefault="00141084" w:rsidP="007C7A3E">
      <w:pPr>
        <w:jc w:val="both"/>
        <w:rPr>
          <w:rFonts w:ascii="Poppins" w:hAnsi="Poppins" w:cs="Poppins"/>
          <w:b/>
          <w:bCs/>
          <w:sz w:val="20"/>
          <w:szCs w:val="20"/>
          <w:lang w:val="fr-FR"/>
        </w:rPr>
      </w:pPr>
    </w:p>
    <w:tbl>
      <w:tblPr>
        <w:tblStyle w:val="TableGrid"/>
        <w:tblW w:w="0" w:type="auto"/>
        <w:tblLook w:val="04A0" w:firstRow="1" w:lastRow="0" w:firstColumn="1" w:lastColumn="0" w:noHBand="0" w:noVBand="1"/>
      </w:tblPr>
      <w:tblGrid>
        <w:gridCol w:w="8727"/>
      </w:tblGrid>
      <w:tr w:rsidR="006609E9" w:rsidRPr="00266BEF" w14:paraId="2D0274ED" w14:textId="77777777" w:rsidTr="006745B1">
        <w:tc>
          <w:tcPr>
            <w:tcW w:w="8727" w:type="dxa"/>
          </w:tcPr>
          <w:p w14:paraId="500A0F86" w14:textId="77777777" w:rsidR="006609E9" w:rsidRPr="00266BEF" w:rsidRDefault="006609E9" w:rsidP="006E6E22">
            <w:pPr>
              <w:spacing w:after="160"/>
              <w:jc w:val="both"/>
              <w:rPr>
                <w:rFonts w:ascii="Poppins" w:eastAsia="Times New Roman" w:hAnsi="Poppins" w:cs="Poppins"/>
                <w:b/>
                <w:sz w:val="18"/>
                <w:szCs w:val="18"/>
                <w:lang w:val="fr-FR"/>
              </w:rPr>
            </w:pPr>
            <w:r w:rsidRPr="00266BEF">
              <w:rPr>
                <w:rFonts w:ascii="Poppins" w:hAnsi="Poppins"/>
                <w:b/>
                <w:sz w:val="18"/>
                <w:lang w:val="fr-FR"/>
              </w:rPr>
              <w:t>PRÉREQUIS</w:t>
            </w:r>
          </w:p>
        </w:tc>
      </w:tr>
      <w:tr w:rsidR="006609E9" w:rsidRPr="00266BEF" w14:paraId="5B2A70FB" w14:textId="77777777" w:rsidTr="006745B1">
        <w:tc>
          <w:tcPr>
            <w:tcW w:w="8727" w:type="dxa"/>
          </w:tcPr>
          <w:p w14:paraId="524C7B7E" w14:textId="408DF6B3" w:rsidR="006609E9" w:rsidRPr="00266BEF" w:rsidRDefault="006609E9" w:rsidP="006609E9">
            <w:pPr>
              <w:widowControl w:val="0"/>
              <w:numPr>
                <w:ilvl w:val="0"/>
                <w:numId w:val="10"/>
              </w:numPr>
              <w:autoSpaceDE w:val="0"/>
              <w:autoSpaceDN w:val="0"/>
              <w:adjustRightInd w:val="0"/>
              <w:spacing w:before="120"/>
              <w:rPr>
                <w:rFonts w:ascii="Poppins" w:eastAsia="Times New Roman" w:hAnsi="Poppins" w:cs="Poppins"/>
                <w:sz w:val="18"/>
                <w:szCs w:val="18"/>
                <w:lang w:val="fr-FR"/>
              </w:rPr>
            </w:pPr>
            <w:r w:rsidRPr="00266BEF">
              <w:rPr>
                <w:rFonts w:ascii="Poppins" w:hAnsi="Poppins"/>
                <w:sz w:val="18"/>
                <w:lang w:val="fr-FR"/>
              </w:rPr>
              <w:t xml:space="preserve">Enregistrement de l’organisation dirigeante du consortium </w:t>
            </w:r>
            <w:r w:rsidR="003B1FC2" w:rsidRPr="00266BEF">
              <w:rPr>
                <w:rFonts w:ascii="Poppins" w:hAnsi="Poppins"/>
                <w:sz w:val="18"/>
                <w:lang w:val="fr-FR"/>
              </w:rPr>
              <w:t>en Tunisie</w:t>
            </w:r>
          </w:p>
        </w:tc>
      </w:tr>
      <w:tr w:rsidR="006609E9" w:rsidRPr="00266BEF" w14:paraId="745C53D9" w14:textId="77777777" w:rsidTr="006745B1">
        <w:tc>
          <w:tcPr>
            <w:tcW w:w="8727" w:type="dxa"/>
          </w:tcPr>
          <w:p w14:paraId="063D2FB8" w14:textId="77777777" w:rsidR="006609E9" w:rsidRPr="00266BEF" w:rsidRDefault="006609E9" w:rsidP="006609E9">
            <w:pPr>
              <w:numPr>
                <w:ilvl w:val="0"/>
                <w:numId w:val="10"/>
              </w:numPr>
              <w:spacing w:after="160"/>
              <w:jc w:val="both"/>
              <w:rPr>
                <w:rFonts w:ascii="Poppins" w:eastAsia="Times New Roman" w:hAnsi="Poppins" w:cs="Poppins"/>
                <w:sz w:val="18"/>
                <w:szCs w:val="18"/>
                <w:lang w:val="fr-FR"/>
              </w:rPr>
            </w:pPr>
            <w:r w:rsidRPr="00266BEF">
              <w:rPr>
                <w:rFonts w:ascii="Poppins" w:hAnsi="Poppins"/>
                <w:sz w:val="18"/>
                <w:lang w:val="fr-FR"/>
              </w:rPr>
              <w:t>Volonté d’accepter et d’assumer le rôle de partenaire local en matière de connaissance (comme décrit précédemment).</w:t>
            </w:r>
          </w:p>
        </w:tc>
      </w:tr>
      <w:tr w:rsidR="006609E9" w:rsidRPr="00266BEF" w14:paraId="2C620651" w14:textId="77777777" w:rsidTr="006745B1">
        <w:tc>
          <w:tcPr>
            <w:tcW w:w="8727" w:type="dxa"/>
          </w:tcPr>
          <w:p w14:paraId="150999E8" w14:textId="77777777" w:rsidR="006609E9" w:rsidRPr="00266BEF" w:rsidRDefault="006609E9" w:rsidP="006609E9">
            <w:pPr>
              <w:numPr>
                <w:ilvl w:val="0"/>
                <w:numId w:val="10"/>
              </w:numPr>
              <w:spacing w:after="160"/>
              <w:jc w:val="both"/>
              <w:rPr>
                <w:rFonts w:ascii="Poppins" w:eastAsia="Times New Roman" w:hAnsi="Poppins" w:cs="Poppins"/>
                <w:sz w:val="18"/>
                <w:szCs w:val="18"/>
                <w:lang w:val="fr-FR"/>
              </w:rPr>
            </w:pPr>
            <w:r w:rsidRPr="00266BEF">
              <w:rPr>
                <w:rFonts w:ascii="Poppins" w:hAnsi="Poppins"/>
                <w:sz w:val="18"/>
                <w:lang w:val="fr-FR"/>
              </w:rPr>
              <w:t xml:space="preserve">Pour le Récipiendaire principal, être une organisation à but non lucratif. </w:t>
            </w:r>
          </w:p>
        </w:tc>
      </w:tr>
      <w:tr w:rsidR="006609E9" w:rsidRPr="00266BEF" w14:paraId="55523899" w14:textId="77777777" w:rsidTr="006745B1">
        <w:tc>
          <w:tcPr>
            <w:tcW w:w="8727" w:type="dxa"/>
          </w:tcPr>
          <w:p w14:paraId="47990B45" w14:textId="77777777" w:rsidR="006609E9" w:rsidRPr="00266BEF" w:rsidRDefault="006609E9" w:rsidP="006E6E22">
            <w:pPr>
              <w:spacing w:after="160"/>
              <w:jc w:val="both"/>
              <w:rPr>
                <w:rFonts w:ascii="Poppins" w:eastAsia="Times New Roman" w:hAnsi="Poppins" w:cs="Poppins"/>
                <w:b/>
                <w:sz w:val="18"/>
                <w:szCs w:val="18"/>
                <w:lang w:val="fr-FR"/>
              </w:rPr>
            </w:pPr>
            <w:r w:rsidRPr="00266BEF">
              <w:rPr>
                <w:rFonts w:ascii="Poppins" w:hAnsi="Poppins"/>
                <w:b/>
                <w:sz w:val="18"/>
                <w:lang w:val="fr-FR"/>
              </w:rPr>
              <w:t>CAPACITÉS REQUISES</w:t>
            </w:r>
          </w:p>
        </w:tc>
      </w:tr>
      <w:tr w:rsidR="006609E9" w:rsidRPr="00266BEF" w14:paraId="3EBA6D59" w14:textId="77777777" w:rsidTr="006745B1">
        <w:tc>
          <w:tcPr>
            <w:tcW w:w="8727" w:type="dxa"/>
          </w:tcPr>
          <w:p w14:paraId="4E5219F3" w14:textId="77777777" w:rsidR="006609E9" w:rsidRPr="00266BEF" w:rsidRDefault="006609E9" w:rsidP="006609E9">
            <w:pPr>
              <w:numPr>
                <w:ilvl w:val="0"/>
                <w:numId w:val="9"/>
              </w:numPr>
              <w:jc w:val="both"/>
              <w:textAlignment w:val="baseline"/>
              <w:rPr>
                <w:rFonts w:ascii="Poppins" w:eastAsia="Times New Roman" w:hAnsi="Poppins" w:cs="Poppins"/>
                <w:sz w:val="18"/>
                <w:szCs w:val="18"/>
                <w:lang w:val="fr-FR"/>
              </w:rPr>
            </w:pPr>
            <w:r w:rsidRPr="00266BEF">
              <w:rPr>
                <w:rStyle w:val="normaltextrun"/>
                <w:rFonts w:ascii="Poppins" w:hAnsi="Poppins"/>
                <w:sz w:val="18"/>
                <w:lang w:val="fr-FR"/>
              </w:rPr>
              <w:t>Connaissance exhaustive des méthodologies et des outils de suivi et d’évaluation.</w:t>
            </w:r>
            <w:r w:rsidRPr="00266BEF">
              <w:rPr>
                <w:rStyle w:val="eop"/>
                <w:rFonts w:ascii="Poppins" w:hAnsi="Poppins"/>
                <w:sz w:val="18"/>
                <w:lang w:val="fr-FR"/>
              </w:rPr>
              <w:t> </w:t>
            </w:r>
          </w:p>
        </w:tc>
      </w:tr>
      <w:tr w:rsidR="006609E9" w:rsidRPr="00266BEF" w14:paraId="0B9559E9" w14:textId="77777777" w:rsidTr="006745B1">
        <w:tc>
          <w:tcPr>
            <w:tcW w:w="8727" w:type="dxa"/>
          </w:tcPr>
          <w:p w14:paraId="1101C2A8" w14:textId="77777777" w:rsidR="006609E9" w:rsidRPr="00266BEF" w:rsidRDefault="006609E9" w:rsidP="006609E9">
            <w:pPr>
              <w:numPr>
                <w:ilvl w:val="0"/>
                <w:numId w:val="9"/>
              </w:numPr>
              <w:jc w:val="both"/>
              <w:textAlignment w:val="baseline"/>
              <w:rPr>
                <w:rFonts w:ascii="Poppins" w:eastAsia="Times New Roman" w:hAnsi="Poppins" w:cs="Poppins"/>
                <w:sz w:val="18"/>
                <w:szCs w:val="18"/>
                <w:lang w:val="fr-FR"/>
              </w:rPr>
            </w:pPr>
            <w:r w:rsidRPr="00266BEF">
              <w:rPr>
                <w:rStyle w:val="normaltextrun"/>
                <w:rFonts w:ascii="Poppins" w:hAnsi="Poppins"/>
                <w:sz w:val="18"/>
                <w:lang w:val="fr-FR"/>
              </w:rPr>
              <w:t>Expérience et compétences en renforcement des capacités S&amp;E (p. ex., animation d’ateliers et mentorat).</w:t>
            </w:r>
            <w:r w:rsidRPr="00266BEF">
              <w:rPr>
                <w:rStyle w:val="eop"/>
                <w:rFonts w:ascii="Poppins" w:hAnsi="Poppins"/>
                <w:sz w:val="18"/>
                <w:lang w:val="fr-FR"/>
              </w:rPr>
              <w:t> </w:t>
            </w:r>
          </w:p>
        </w:tc>
      </w:tr>
      <w:tr w:rsidR="006609E9" w:rsidRPr="00266BEF" w14:paraId="50B547D1" w14:textId="77777777" w:rsidTr="006745B1">
        <w:tc>
          <w:tcPr>
            <w:tcW w:w="8727" w:type="dxa"/>
          </w:tcPr>
          <w:p w14:paraId="7BA6FFEE" w14:textId="77777777" w:rsidR="006609E9" w:rsidRPr="00266BEF" w:rsidRDefault="006609E9" w:rsidP="006609E9">
            <w:pPr>
              <w:numPr>
                <w:ilvl w:val="0"/>
                <w:numId w:val="9"/>
              </w:numPr>
              <w:jc w:val="both"/>
              <w:textAlignment w:val="baseline"/>
              <w:rPr>
                <w:rFonts w:ascii="Poppins" w:eastAsia="Times New Roman" w:hAnsi="Poppins" w:cs="Poppins"/>
                <w:sz w:val="18"/>
                <w:szCs w:val="18"/>
                <w:lang w:val="fr-FR"/>
              </w:rPr>
            </w:pPr>
            <w:r w:rsidRPr="00266BEF">
              <w:rPr>
                <w:rStyle w:val="normaltextrun"/>
                <w:rFonts w:ascii="Poppins" w:hAnsi="Poppins"/>
                <w:sz w:val="18"/>
                <w:lang w:val="fr-FR"/>
              </w:rPr>
              <w:t>Expérience en suivi de tiers et en réalisation d’évaluations externes, en particulier dans le cadre de projets liés à la paix ou à la P/LEV.</w:t>
            </w:r>
            <w:r w:rsidRPr="00266BEF">
              <w:rPr>
                <w:rStyle w:val="eop"/>
                <w:rFonts w:ascii="Poppins" w:hAnsi="Poppins"/>
                <w:sz w:val="18"/>
                <w:lang w:val="fr-FR"/>
              </w:rPr>
              <w:t> </w:t>
            </w:r>
          </w:p>
        </w:tc>
      </w:tr>
      <w:tr w:rsidR="006609E9" w:rsidRPr="00266BEF" w14:paraId="38E9A5C0" w14:textId="77777777" w:rsidTr="006745B1">
        <w:tc>
          <w:tcPr>
            <w:tcW w:w="8727" w:type="dxa"/>
          </w:tcPr>
          <w:p w14:paraId="55910E97" w14:textId="52D6E6CB" w:rsidR="006609E9" w:rsidRPr="00266BEF" w:rsidRDefault="006609E9" w:rsidP="006609E9">
            <w:pPr>
              <w:numPr>
                <w:ilvl w:val="0"/>
                <w:numId w:val="9"/>
              </w:numPr>
              <w:jc w:val="both"/>
              <w:textAlignment w:val="baseline"/>
              <w:rPr>
                <w:rFonts w:ascii="Poppins" w:eastAsia="Times New Roman" w:hAnsi="Poppins" w:cs="Poppins"/>
                <w:sz w:val="18"/>
                <w:szCs w:val="18"/>
                <w:lang w:val="fr-FR"/>
              </w:rPr>
            </w:pPr>
            <w:r w:rsidRPr="00266BEF">
              <w:rPr>
                <w:rStyle w:val="normaltextrun"/>
                <w:rFonts w:ascii="Poppins" w:hAnsi="Poppins"/>
                <w:sz w:val="18"/>
                <w:lang w:val="fr-FR"/>
              </w:rPr>
              <w:lastRenderedPageBreak/>
              <w:t xml:space="preserve">Connaissance experte des tendances et des enjeux actuels en matière de P/LEV </w:t>
            </w:r>
            <w:r w:rsidR="0085088F" w:rsidRPr="00266BEF">
              <w:rPr>
                <w:rStyle w:val="normaltextrun"/>
                <w:rFonts w:ascii="Poppins" w:hAnsi="Poppins"/>
                <w:sz w:val="18"/>
                <w:lang w:val="fr-FR"/>
              </w:rPr>
              <w:t xml:space="preserve">en Tunisie </w:t>
            </w:r>
            <w:r w:rsidRPr="00266BEF">
              <w:rPr>
                <w:rStyle w:val="normaltextrun"/>
                <w:rFonts w:ascii="Poppins" w:hAnsi="Poppins"/>
                <w:sz w:val="18"/>
                <w:lang w:val="fr-FR"/>
              </w:rPr>
              <w:t>ainsi que des approches communautaires en matière de programmation et de mise en œuvre.</w:t>
            </w:r>
            <w:r w:rsidRPr="00266BEF">
              <w:rPr>
                <w:rStyle w:val="eop"/>
                <w:rFonts w:ascii="Poppins" w:hAnsi="Poppins"/>
                <w:sz w:val="18"/>
                <w:lang w:val="fr-FR"/>
              </w:rPr>
              <w:t> </w:t>
            </w:r>
          </w:p>
        </w:tc>
      </w:tr>
      <w:tr w:rsidR="006609E9" w:rsidRPr="00266BEF" w14:paraId="6F22CDE8" w14:textId="77777777" w:rsidTr="006745B1">
        <w:tc>
          <w:tcPr>
            <w:tcW w:w="8727" w:type="dxa"/>
          </w:tcPr>
          <w:p w14:paraId="768889FE" w14:textId="61FFC9E2" w:rsidR="006609E9" w:rsidRPr="00266BEF" w:rsidRDefault="007C59C0" w:rsidP="006609E9">
            <w:pPr>
              <w:numPr>
                <w:ilvl w:val="0"/>
                <w:numId w:val="9"/>
              </w:numPr>
              <w:jc w:val="both"/>
              <w:textAlignment w:val="baseline"/>
              <w:rPr>
                <w:rFonts w:ascii="Poppins" w:eastAsia="Times New Roman" w:hAnsi="Poppins" w:cs="Poppins"/>
                <w:sz w:val="18"/>
                <w:szCs w:val="18"/>
                <w:lang w:val="fr-FR"/>
              </w:rPr>
            </w:pPr>
            <w:r w:rsidRPr="00266BEF">
              <w:rPr>
                <w:rFonts w:ascii="Poppins" w:eastAsia="Times New Roman" w:hAnsi="Poppins" w:cs="Poppins"/>
                <w:sz w:val="18"/>
                <w:szCs w:val="18"/>
                <w:lang w:val="fr-FR"/>
              </w:rPr>
              <w:t>Capacité à mener des recherches opérationnelles et à traduire les résultats en pratiques ou en décisions programmatiques.</w:t>
            </w:r>
          </w:p>
        </w:tc>
      </w:tr>
      <w:tr w:rsidR="006609E9" w:rsidRPr="00266BEF" w14:paraId="760D3485" w14:textId="77777777" w:rsidTr="006745B1">
        <w:tc>
          <w:tcPr>
            <w:tcW w:w="8727" w:type="dxa"/>
          </w:tcPr>
          <w:p w14:paraId="25422835" w14:textId="387F39F0" w:rsidR="006609E9" w:rsidRPr="00266BEF" w:rsidRDefault="002B4E99" w:rsidP="006609E9">
            <w:pPr>
              <w:numPr>
                <w:ilvl w:val="0"/>
                <w:numId w:val="9"/>
              </w:numPr>
              <w:jc w:val="both"/>
              <w:textAlignment w:val="baseline"/>
              <w:rPr>
                <w:rFonts w:ascii="Poppins" w:eastAsia="Times New Roman" w:hAnsi="Poppins" w:cs="Poppins"/>
                <w:sz w:val="18"/>
                <w:szCs w:val="18"/>
                <w:lang w:val="fr-FR"/>
              </w:rPr>
            </w:pPr>
            <w:r w:rsidRPr="00266BEF">
              <w:rPr>
                <w:rFonts w:ascii="Poppins" w:eastAsia="Times New Roman" w:hAnsi="Poppins" w:cs="Poppins"/>
                <w:sz w:val="18"/>
                <w:szCs w:val="18"/>
                <w:lang w:val="fr-FR"/>
              </w:rPr>
              <w:t>Connaissance approfondie de la structure et des mécanismes de gouvernance</w:t>
            </w:r>
            <w:r w:rsidR="00287F45" w:rsidRPr="00266BEF">
              <w:rPr>
                <w:rFonts w:ascii="Poppins" w:eastAsia="Times New Roman" w:hAnsi="Poppins" w:cs="Poppins"/>
                <w:sz w:val="18"/>
                <w:szCs w:val="18"/>
                <w:lang w:val="fr-FR"/>
              </w:rPr>
              <w:t xml:space="preserve"> élargis </w:t>
            </w:r>
            <w:r w:rsidRPr="00266BEF">
              <w:rPr>
                <w:rFonts w:ascii="Poppins" w:eastAsia="Times New Roman" w:hAnsi="Poppins" w:cs="Poppins"/>
                <w:sz w:val="18"/>
                <w:szCs w:val="18"/>
                <w:lang w:val="fr-FR"/>
              </w:rPr>
              <w:t>de la Tunisie.</w:t>
            </w:r>
          </w:p>
        </w:tc>
      </w:tr>
      <w:tr w:rsidR="006609E9" w:rsidRPr="00266BEF" w14:paraId="1352BF7B" w14:textId="77777777" w:rsidTr="006745B1">
        <w:tc>
          <w:tcPr>
            <w:tcW w:w="8727" w:type="dxa"/>
          </w:tcPr>
          <w:p w14:paraId="73A4C627" w14:textId="527F51B6" w:rsidR="006609E9" w:rsidRPr="00266BEF" w:rsidRDefault="00590FA1" w:rsidP="006609E9">
            <w:pPr>
              <w:numPr>
                <w:ilvl w:val="0"/>
                <w:numId w:val="9"/>
              </w:numPr>
              <w:jc w:val="both"/>
              <w:textAlignment w:val="baseline"/>
              <w:rPr>
                <w:rFonts w:ascii="Poppins" w:eastAsia="Times New Roman" w:hAnsi="Poppins" w:cs="Poppins"/>
                <w:sz w:val="18"/>
                <w:szCs w:val="18"/>
                <w:lang w:val="fr-FR"/>
              </w:rPr>
            </w:pPr>
            <w:r w:rsidRPr="00266BEF">
              <w:rPr>
                <w:rFonts w:ascii="Poppins" w:eastAsia="Times New Roman" w:hAnsi="Poppins" w:cs="Poppins"/>
                <w:sz w:val="18"/>
                <w:szCs w:val="18"/>
                <w:lang w:val="fr-FR"/>
              </w:rPr>
              <w:t>Excellente maîtrise du français, de l'anglais et des langues locales</w:t>
            </w:r>
          </w:p>
        </w:tc>
      </w:tr>
      <w:tr w:rsidR="006609E9" w:rsidRPr="00266BEF" w14:paraId="58DC4264" w14:textId="77777777" w:rsidTr="006745B1">
        <w:tc>
          <w:tcPr>
            <w:tcW w:w="8727" w:type="dxa"/>
          </w:tcPr>
          <w:p w14:paraId="68888828" w14:textId="75D876D1" w:rsidR="006609E9" w:rsidRPr="00266BEF" w:rsidRDefault="001C44E3" w:rsidP="006609E9">
            <w:pPr>
              <w:numPr>
                <w:ilvl w:val="0"/>
                <w:numId w:val="9"/>
              </w:numPr>
              <w:jc w:val="both"/>
              <w:textAlignment w:val="baseline"/>
              <w:rPr>
                <w:rFonts w:ascii="Poppins" w:eastAsia="Times New Roman" w:hAnsi="Poppins" w:cs="Poppins"/>
                <w:sz w:val="18"/>
                <w:szCs w:val="18"/>
                <w:lang w:val="fr-FR"/>
              </w:rPr>
            </w:pPr>
            <w:r w:rsidRPr="00266BEF">
              <w:rPr>
                <w:rStyle w:val="normaltextrun"/>
                <w:rFonts w:ascii="Poppins" w:hAnsi="Poppins"/>
                <w:sz w:val="18"/>
                <w:lang w:val="fr-FR"/>
              </w:rPr>
              <w:t>Capacité à produire des rapports concis et à communiquer clairement (avec, lorsque cela est faisable, infographie des résultats et des conclusions).</w:t>
            </w:r>
            <w:r w:rsidRPr="00266BEF">
              <w:rPr>
                <w:rStyle w:val="eop"/>
                <w:rFonts w:ascii="Poppins" w:hAnsi="Poppins"/>
                <w:sz w:val="18"/>
                <w:lang w:val="fr-FR"/>
              </w:rPr>
              <w:t> </w:t>
            </w:r>
          </w:p>
        </w:tc>
      </w:tr>
      <w:tr w:rsidR="00937C4D" w:rsidRPr="00266BEF" w14:paraId="1136FB65" w14:textId="77777777" w:rsidTr="006745B1">
        <w:tc>
          <w:tcPr>
            <w:tcW w:w="8727" w:type="dxa"/>
          </w:tcPr>
          <w:p w14:paraId="05F488F6" w14:textId="7F946486" w:rsidR="00937C4D" w:rsidRPr="00266BEF" w:rsidRDefault="00937C4D" w:rsidP="006609E9">
            <w:pPr>
              <w:numPr>
                <w:ilvl w:val="0"/>
                <w:numId w:val="9"/>
              </w:numPr>
              <w:jc w:val="both"/>
              <w:textAlignment w:val="baseline"/>
              <w:rPr>
                <w:rStyle w:val="normaltextrun"/>
                <w:rFonts w:ascii="Poppins" w:hAnsi="Poppins"/>
                <w:sz w:val="18"/>
                <w:lang w:val="fr-FR"/>
              </w:rPr>
            </w:pPr>
            <w:r w:rsidRPr="00266BEF">
              <w:rPr>
                <w:rStyle w:val="normaltextrun"/>
                <w:rFonts w:ascii="Poppins" w:hAnsi="Poppins"/>
                <w:sz w:val="18"/>
                <w:lang w:val="fr-FR"/>
              </w:rPr>
              <w:t>Capacité à interagir avec des parties prenantes et des clients d’horizons divers de manière pertinente et efficace.</w:t>
            </w:r>
            <w:r w:rsidRPr="00266BEF">
              <w:rPr>
                <w:rStyle w:val="eop"/>
                <w:rFonts w:ascii="Poppins" w:hAnsi="Poppins"/>
                <w:sz w:val="18"/>
                <w:lang w:val="fr-FR"/>
              </w:rPr>
              <w:t> </w:t>
            </w:r>
          </w:p>
        </w:tc>
      </w:tr>
      <w:tr w:rsidR="00937C4D" w:rsidRPr="00266BEF" w14:paraId="48D37EB6" w14:textId="77777777" w:rsidTr="006745B1">
        <w:tc>
          <w:tcPr>
            <w:tcW w:w="8727" w:type="dxa"/>
          </w:tcPr>
          <w:p w14:paraId="763776BF" w14:textId="6F8CB81B" w:rsidR="00937C4D" w:rsidRPr="00266BEF" w:rsidRDefault="00937C4D" w:rsidP="006609E9">
            <w:pPr>
              <w:numPr>
                <w:ilvl w:val="0"/>
                <w:numId w:val="9"/>
              </w:numPr>
              <w:jc w:val="both"/>
              <w:textAlignment w:val="baseline"/>
              <w:rPr>
                <w:rStyle w:val="normaltextrun"/>
                <w:rFonts w:ascii="Poppins" w:hAnsi="Poppins"/>
                <w:sz w:val="18"/>
                <w:lang w:val="fr-FR"/>
              </w:rPr>
            </w:pPr>
            <w:r w:rsidRPr="00266BEF">
              <w:rPr>
                <w:rStyle w:val="normaltextrun"/>
                <w:rFonts w:ascii="Poppins" w:hAnsi="Poppins"/>
                <w:sz w:val="18"/>
                <w:lang w:val="fr-FR"/>
              </w:rPr>
              <w:t>Une expérience du travail avec les organisations de la société civile serait extrêmement pertinente.</w:t>
            </w:r>
            <w:r w:rsidRPr="00266BEF">
              <w:rPr>
                <w:rStyle w:val="eop"/>
                <w:rFonts w:ascii="Poppins" w:hAnsi="Poppins"/>
                <w:sz w:val="18"/>
                <w:lang w:val="fr-FR"/>
              </w:rPr>
              <w:t> </w:t>
            </w:r>
          </w:p>
        </w:tc>
      </w:tr>
      <w:tr w:rsidR="006609E9" w:rsidRPr="00266BEF" w14:paraId="39976583" w14:textId="77777777" w:rsidTr="006745B1">
        <w:tc>
          <w:tcPr>
            <w:tcW w:w="8727" w:type="dxa"/>
          </w:tcPr>
          <w:p w14:paraId="14EBEAB2" w14:textId="1741BFCB" w:rsidR="006609E9" w:rsidRPr="00266BEF" w:rsidRDefault="00937C4D" w:rsidP="006609E9">
            <w:pPr>
              <w:numPr>
                <w:ilvl w:val="0"/>
                <w:numId w:val="9"/>
              </w:numPr>
              <w:jc w:val="both"/>
              <w:textAlignment w:val="baseline"/>
              <w:rPr>
                <w:rStyle w:val="normaltextrun"/>
                <w:rFonts w:ascii="Poppins" w:hAnsi="Poppins" w:cs="Poppins"/>
                <w:sz w:val="18"/>
                <w:szCs w:val="18"/>
                <w:lang w:val="fr-FR"/>
              </w:rPr>
            </w:pPr>
            <w:r w:rsidRPr="00266BEF">
              <w:rPr>
                <w:rStyle w:val="normaltextrun"/>
                <w:rFonts w:ascii="Poppins" w:hAnsi="Poppins"/>
                <w:sz w:val="18"/>
                <w:lang w:val="fr-FR"/>
              </w:rPr>
              <w:t>Une expérience du travail avec les autorités gouvernementales et des organisations multilatérales similaires au GCERF serait un avantage supplémentaire.</w:t>
            </w:r>
            <w:r w:rsidRPr="00266BEF">
              <w:rPr>
                <w:rStyle w:val="eop"/>
                <w:rFonts w:ascii="Poppins" w:hAnsi="Poppins"/>
                <w:sz w:val="18"/>
                <w:lang w:val="fr-FR"/>
              </w:rPr>
              <w:t> </w:t>
            </w:r>
          </w:p>
        </w:tc>
      </w:tr>
      <w:tr w:rsidR="006609E9" w:rsidRPr="00266BEF" w14:paraId="2061CC39" w14:textId="77777777" w:rsidTr="006745B1">
        <w:tc>
          <w:tcPr>
            <w:tcW w:w="8727" w:type="dxa"/>
            <w:tcBorders>
              <w:bottom w:val="single" w:sz="4" w:space="0" w:color="000000" w:themeColor="text1"/>
            </w:tcBorders>
          </w:tcPr>
          <w:p w14:paraId="001E2AEF" w14:textId="4B98C5D7" w:rsidR="006609E9" w:rsidRPr="00266BEF" w:rsidRDefault="00341BE8" w:rsidP="006609E9">
            <w:pPr>
              <w:numPr>
                <w:ilvl w:val="0"/>
                <w:numId w:val="9"/>
              </w:numPr>
              <w:jc w:val="both"/>
              <w:textAlignment w:val="baseline"/>
              <w:rPr>
                <w:rFonts w:ascii="Poppins" w:eastAsia="Times New Roman" w:hAnsi="Poppins" w:cs="Poppins"/>
                <w:sz w:val="18"/>
                <w:szCs w:val="18"/>
                <w:lang w:val="fr-FR"/>
              </w:rPr>
            </w:pPr>
            <w:r w:rsidRPr="00266BEF">
              <w:rPr>
                <w:rFonts w:ascii="Poppins" w:eastAsia="Times New Roman" w:hAnsi="Poppins" w:cs="Poppins"/>
                <w:sz w:val="18"/>
                <w:szCs w:val="18"/>
                <w:lang w:val="fr-FR"/>
              </w:rPr>
              <w:t>Pour les consortiums, l'expérience des récipiendaires principaux dans la gestion des récipiendaires secondaires est considérée comme un atout.</w:t>
            </w:r>
          </w:p>
        </w:tc>
      </w:tr>
      <w:tr w:rsidR="006609E9" w:rsidRPr="00266BEF" w14:paraId="6E2DD414" w14:textId="77777777" w:rsidTr="006745B1">
        <w:tc>
          <w:tcPr>
            <w:tcW w:w="8727" w:type="dxa"/>
            <w:tcBorders>
              <w:bottom w:val="single" w:sz="4" w:space="0" w:color="auto"/>
            </w:tcBorders>
          </w:tcPr>
          <w:p w14:paraId="62E45F6D" w14:textId="77777777" w:rsidR="006609E9" w:rsidRPr="00266BEF" w:rsidRDefault="006609E9" w:rsidP="006609E9">
            <w:pPr>
              <w:numPr>
                <w:ilvl w:val="0"/>
                <w:numId w:val="9"/>
              </w:numPr>
              <w:jc w:val="both"/>
              <w:textAlignment w:val="baseline"/>
              <w:rPr>
                <w:rFonts w:ascii="Poppins" w:eastAsia="Times New Roman" w:hAnsi="Poppins" w:cs="Poppins"/>
                <w:sz w:val="18"/>
                <w:szCs w:val="18"/>
                <w:lang w:val="fr-FR"/>
              </w:rPr>
            </w:pPr>
            <w:r w:rsidRPr="00266BEF">
              <w:rPr>
                <w:rStyle w:val="normaltextrun"/>
                <w:rFonts w:ascii="Poppins" w:hAnsi="Poppins"/>
                <w:sz w:val="18"/>
                <w:lang w:val="fr-FR"/>
              </w:rPr>
              <w:t>Une expérience dans la publication de rapports (évaluation, recherche) est importante.</w:t>
            </w:r>
            <w:r w:rsidRPr="00266BEF">
              <w:rPr>
                <w:rStyle w:val="eop"/>
                <w:rFonts w:ascii="Poppins" w:hAnsi="Poppins"/>
                <w:sz w:val="18"/>
                <w:lang w:val="fr-FR"/>
              </w:rPr>
              <w:t> </w:t>
            </w:r>
          </w:p>
        </w:tc>
      </w:tr>
    </w:tbl>
    <w:p w14:paraId="45C5CB03" w14:textId="5233800F" w:rsidR="006609E9" w:rsidRPr="00266BEF" w:rsidRDefault="006609E9" w:rsidP="007C7A3E">
      <w:pPr>
        <w:jc w:val="both"/>
        <w:rPr>
          <w:rFonts w:ascii="Poppins" w:hAnsi="Poppins" w:cs="Poppins"/>
          <w:b/>
          <w:bCs/>
          <w:sz w:val="20"/>
          <w:szCs w:val="20"/>
          <w:lang w:val="fr-FR"/>
        </w:rPr>
      </w:pPr>
    </w:p>
    <w:p w14:paraId="1CC4AA13" w14:textId="5A22F280" w:rsidR="00341BE8" w:rsidRPr="00266BEF" w:rsidRDefault="00FA32D4" w:rsidP="007C7A3E">
      <w:pPr>
        <w:jc w:val="both"/>
        <w:rPr>
          <w:rFonts w:ascii="Poppins" w:hAnsi="Poppins" w:cs="Poppins"/>
          <w:b/>
          <w:bCs/>
          <w:sz w:val="20"/>
          <w:szCs w:val="20"/>
          <w:lang w:val="fr-FR"/>
        </w:rPr>
      </w:pPr>
      <w:r w:rsidRPr="00266BEF">
        <w:rPr>
          <w:rFonts w:ascii="Poppins" w:hAnsi="Poppins" w:cs="Poppins"/>
          <w:b/>
          <w:bCs/>
          <w:sz w:val="20"/>
          <w:szCs w:val="20"/>
          <w:lang w:val="fr-FR"/>
        </w:rPr>
        <w:t>Comment soumettre une manifestation d'intérêt</w:t>
      </w:r>
    </w:p>
    <w:p w14:paraId="20A86856" w14:textId="0F3A77AE" w:rsidR="00DB5BB8" w:rsidRPr="00266BEF" w:rsidRDefault="00DB118D" w:rsidP="007C7A3E">
      <w:pPr>
        <w:jc w:val="both"/>
        <w:rPr>
          <w:rFonts w:ascii="Poppins" w:hAnsi="Poppins" w:cs="Poppins"/>
          <w:sz w:val="20"/>
          <w:szCs w:val="20"/>
          <w:lang w:val="fr-FR"/>
        </w:rPr>
      </w:pPr>
      <w:r w:rsidRPr="00266BEF">
        <w:rPr>
          <w:rFonts w:ascii="Poppins" w:hAnsi="Poppins" w:cs="Poppins"/>
          <w:sz w:val="20"/>
          <w:szCs w:val="20"/>
          <w:lang w:val="fr-FR"/>
        </w:rPr>
        <w:t>Veuillez-vous</w:t>
      </w:r>
      <w:r w:rsidR="00DE4C9C" w:rsidRPr="00266BEF">
        <w:rPr>
          <w:rFonts w:ascii="Poppins" w:hAnsi="Poppins" w:cs="Poppins"/>
          <w:sz w:val="20"/>
          <w:szCs w:val="20"/>
          <w:lang w:val="fr-FR"/>
        </w:rPr>
        <w:t xml:space="preserve"> référer à</w:t>
      </w:r>
      <w:r w:rsidR="0005131F" w:rsidRPr="00266BEF">
        <w:rPr>
          <w:rFonts w:ascii="Poppins" w:hAnsi="Poppins" w:cs="Poppins"/>
          <w:sz w:val="20"/>
          <w:szCs w:val="20"/>
          <w:lang w:val="fr-FR"/>
        </w:rPr>
        <w:t xml:space="preserve"> l'annexe A ci-dessous.</w:t>
      </w:r>
    </w:p>
    <w:p w14:paraId="0CC9D637" w14:textId="50443544" w:rsidR="00DB5BB8" w:rsidRPr="00266BEF" w:rsidRDefault="00DB5BB8" w:rsidP="00DB5BB8">
      <w:pPr>
        <w:jc w:val="both"/>
        <w:rPr>
          <w:rFonts w:ascii="Poppins" w:hAnsi="Poppins"/>
          <w:sz w:val="20"/>
          <w:lang w:val="fr-FR"/>
        </w:rPr>
      </w:pPr>
      <w:r w:rsidRPr="00266BEF">
        <w:rPr>
          <w:rFonts w:ascii="Poppins" w:hAnsi="Poppins"/>
          <w:sz w:val="20"/>
          <w:lang w:val="fr-FR"/>
        </w:rPr>
        <w:t xml:space="preserve">Les manifestations d’intérêt doivent être dûment remplies et envoyées par voie électronique à l’adresse </w:t>
      </w:r>
      <w:hyperlink r:id="rId8" w:history="1">
        <w:r w:rsidR="005855F8" w:rsidRPr="00266BEF">
          <w:rPr>
            <w:rStyle w:val="Hyperlink"/>
            <w:rFonts w:ascii="Poppins" w:hAnsi="Poppins"/>
            <w:b/>
            <w:color w:val="0000FF"/>
            <w:sz w:val="20"/>
            <w:lang w:val="fr-FR"/>
          </w:rPr>
          <w:t>call.tunisia@gcerf.org</w:t>
        </w:r>
      </w:hyperlink>
      <w:r w:rsidRPr="00266BEF">
        <w:rPr>
          <w:rFonts w:ascii="Poppins" w:hAnsi="Poppins"/>
          <w:sz w:val="20"/>
          <w:lang w:val="fr-FR"/>
        </w:rPr>
        <w:t xml:space="preserve">, en mettant en copie </w:t>
      </w:r>
      <w:r w:rsidRPr="00266BEF">
        <w:rPr>
          <w:rFonts w:ascii="Poppins" w:hAnsi="Poppins"/>
          <w:b/>
          <w:color w:val="0000FF"/>
          <w:sz w:val="20"/>
          <w:u w:val="single"/>
          <w:lang w:val="fr-FR"/>
        </w:rPr>
        <w:t>info.pi@gcerf.org</w:t>
      </w:r>
      <w:r w:rsidRPr="00266BEF">
        <w:rPr>
          <w:rFonts w:ascii="Poppins" w:hAnsi="Poppins"/>
          <w:sz w:val="20"/>
          <w:lang w:val="fr-FR"/>
        </w:rPr>
        <w:t xml:space="preserve">, </w:t>
      </w:r>
      <w:r w:rsidR="005855F8" w:rsidRPr="00266BEF">
        <w:rPr>
          <w:rFonts w:ascii="Poppins" w:hAnsi="Poppins"/>
          <w:sz w:val="20"/>
          <w:lang w:val="fr-FR"/>
        </w:rPr>
        <w:t xml:space="preserve">avant le </w:t>
      </w:r>
      <w:r w:rsidR="00DD0B4B" w:rsidRPr="00DD0B4B">
        <w:rPr>
          <w:rFonts w:ascii="Poppins" w:hAnsi="Poppins"/>
          <w:b/>
          <w:bCs/>
          <w:sz w:val="20"/>
          <w:u w:val="single"/>
          <w:lang w:val="fr-FR"/>
        </w:rPr>
        <w:t>31 décembre 2022</w:t>
      </w:r>
      <w:r w:rsidRPr="00266BEF">
        <w:rPr>
          <w:rFonts w:ascii="Poppins" w:hAnsi="Poppins"/>
          <w:b/>
          <w:sz w:val="20"/>
          <w:u w:val="single"/>
          <w:lang w:val="fr-FR"/>
        </w:rPr>
        <w:t>.</w:t>
      </w:r>
      <w:r w:rsidRPr="00266BEF">
        <w:rPr>
          <w:rFonts w:ascii="Poppins" w:hAnsi="Poppins"/>
          <w:sz w:val="20"/>
          <w:lang w:val="fr-FR"/>
        </w:rPr>
        <w:t xml:space="preserve"> L’objet du courriel doit porter la mention « </w:t>
      </w:r>
      <w:r w:rsidRPr="00266BEF">
        <w:rPr>
          <w:rFonts w:ascii="Poppins" w:hAnsi="Poppins"/>
          <w:b/>
          <w:sz w:val="20"/>
          <w:lang w:val="fr-FR"/>
        </w:rPr>
        <w:t xml:space="preserve">EOI-Local </w:t>
      </w:r>
      <w:proofErr w:type="spellStart"/>
      <w:r w:rsidRPr="00266BEF">
        <w:rPr>
          <w:rFonts w:ascii="Poppins" w:hAnsi="Poppins"/>
          <w:b/>
          <w:sz w:val="20"/>
          <w:lang w:val="fr-FR"/>
        </w:rPr>
        <w:t>Knowledge</w:t>
      </w:r>
      <w:proofErr w:type="spellEnd"/>
      <w:r w:rsidRPr="00266BEF">
        <w:rPr>
          <w:rFonts w:ascii="Poppins" w:hAnsi="Poppins"/>
          <w:b/>
          <w:sz w:val="20"/>
          <w:lang w:val="fr-FR"/>
        </w:rPr>
        <w:t xml:space="preserve"> Partner/Partenaire local en matière de connaissance</w:t>
      </w:r>
      <w:r w:rsidRPr="00266BEF">
        <w:rPr>
          <w:rFonts w:ascii="Poppins" w:hAnsi="Poppins"/>
          <w:sz w:val="20"/>
          <w:lang w:val="fr-FR"/>
        </w:rPr>
        <w:t> » avec le pays concerné. Le non-respect de ces règles peut compromettre votre candidature.</w:t>
      </w:r>
    </w:p>
    <w:p w14:paraId="362BAB30" w14:textId="77777777" w:rsidR="00DB5BB8" w:rsidRPr="00266BEF" w:rsidRDefault="00DB5BB8" w:rsidP="00DB5BB8">
      <w:pPr>
        <w:jc w:val="both"/>
        <w:rPr>
          <w:rFonts w:ascii="Poppins" w:hAnsi="Poppins" w:cs="Poppins"/>
          <w:sz w:val="20"/>
          <w:szCs w:val="20"/>
          <w:lang w:val="fr-FR"/>
        </w:rPr>
      </w:pPr>
      <w:r w:rsidRPr="00266BEF">
        <w:rPr>
          <w:rFonts w:ascii="Poppins" w:hAnsi="Poppins" w:cs="Poppins"/>
          <w:sz w:val="20"/>
          <w:szCs w:val="20"/>
          <w:lang w:val="fr-FR"/>
        </w:rPr>
        <w:t xml:space="preserve">Les demandes informelles peuvent être soumises à </w:t>
      </w:r>
      <w:hyperlink r:id="rId9" w:history="1">
        <w:r w:rsidRPr="00266BEF">
          <w:rPr>
            <w:rStyle w:val="Hyperlink"/>
            <w:rFonts w:ascii="Poppins" w:hAnsi="Poppins" w:cs="Poppins"/>
            <w:color w:val="0000FF"/>
            <w:sz w:val="20"/>
            <w:szCs w:val="20"/>
            <w:lang w:val="fr-FR"/>
          </w:rPr>
          <w:t>info.pi@gcerf.org</w:t>
        </w:r>
      </w:hyperlink>
      <w:r w:rsidRPr="00266BEF">
        <w:rPr>
          <w:rFonts w:ascii="Poppins" w:hAnsi="Poppins" w:cs="Poppins"/>
          <w:sz w:val="20"/>
          <w:szCs w:val="20"/>
          <w:lang w:val="fr-FR"/>
        </w:rPr>
        <w:t xml:space="preserve">. </w:t>
      </w:r>
    </w:p>
    <w:p w14:paraId="40BF7A76" w14:textId="4453148C" w:rsidR="00DB5BB8" w:rsidRPr="00266BEF" w:rsidRDefault="00DB5BB8" w:rsidP="00DB5BB8">
      <w:pPr>
        <w:jc w:val="both"/>
        <w:rPr>
          <w:rFonts w:ascii="Poppins" w:hAnsi="Poppins" w:cs="Poppins"/>
          <w:sz w:val="20"/>
          <w:szCs w:val="20"/>
          <w:lang w:val="fr-FR"/>
        </w:rPr>
      </w:pPr>
      <w:r w:rsidRPr="00266BEF">
        <w:rPr>
          <w:rFonts w:ascii="Poppins" w:hAnsi="Poppins"/>
          <w:sz w:val="20"/>
          <w:lang w:val="fr-FR"/>
        </w:rPr>
        <w:t>Après examen des dossiers, les organisations candidates présélectionnées seront contactées afin de mener une vérification préalable</w:t>
      </w:r>
    </w:p>
    <w:sectPr w:rsidR="00DB5BB8" w:rsidRPr="00266BE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3A7A9" w14:textId="77777777" w:rsidR="006745B1" w:rsidRDefault="006745B1" w:rsidP="006745B1">
      <w:pPr>
        <w:spacing w:after="0" w:line="240" w:lineRule="auto"/>
      </w:pPr>
      <w:r>
        <w:separator/>
      </w:r>
    </w:p>
  </w:endnote>
  <w:endnote w:type="continuationSeparator" w:id="0">
    <w:p w14:paraId="3488F8DE" w14:textId="77777777" w:rsidR="006745B1" w:rsidRDefault="006745B1" w:rsidP="00674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296216"/>
      <w:docPartObj>
        <w:docPartGallery w:val="Page Numbers (Bottom of Page)"/>
        <w:docPartUnique/>
      </w:docPartObj>
    </w:sdtPr>
    <w:sdtEndPr>
      <w:rPr>
        <w:rFonts w:ascii="Poppins" w:hAnsi="Poppins" w:cs="Poppins"/>
        <w:noProof/>
      </w:rPr>
    </w:sdtEndPr>
    <w:sdtContent>
      <w:p w14:paraId="67FA6622" w14:textId="230AFAC2" w:rsidR="006745B1" w:rsidRPr="006745B1" w:rsidRDefault="006745B1">
        <w:pPr>
          <w:pStyle w:val="Footer"/>
          <w:jc w:val="center"/>
          <w:rPr>
            <w:rFonts w:ascii="Poppins" w:hAnsi="Poppins" w:cs="Poppins"/>
          </w:rPr>
        </w:pPr>
        <w:r w:rsidRPr="006745B1">
          <w:rPr>
            <w:rFonts w:ascii="Poppins" w:hAnsi="Poppins" w:cs="Poppins"/>
          </w:rPr>
          <w:fldChar w:fldCharType="begin"/>
        </w:r>
        <w:r w:rsidRPr="006745B1">
          <w:rPr>
            <w:rFonts w:ascii="Poppins" w:hAnsi="Poppins" w:cs="Poppins"/>
          </w:rPr>
          <w:instrText xml:space="preserve"> PAGE   \* MERGEFORMAT </w:instrText>
        </w:r>
        <w:r w:rsidRPr="006745B1">
          <w:rPr>
            <w:rFonts w:ascii="Poppins" w:hAnsi="Poppins" w:cs="Poppins"/>
          </w:rPr>
          <w:fldChar w:fldCharType="separate"/>
        </w:r>
        <w:r w:rsidRPr="006745B1">
          <w:rPr>
            <w:rFonts w:ascii="Poppins" w:hAnsi="Poppins" w:cs="Poppins"/>
            <w:noProof/>
          </w:rPr>
          <w:t>2</w:t>
        </w:r>
        <w:r w:rsidRPr="006745B1">
          <w:rPr>
            <w:rFonts w:ascii="Poppins" w:hAnsi="Poppins" w:cs="Poppins"/>
            <w:noProof/>
          </w:rPr>
          <w:fldChar w:fldCharType="end"/>
        </w:r>
      </w:p>
    </w:sdtContent>
  </w:sdt>
  <w:p w14:paraId="069CC8BD" w14:textId="77777777" w:rsidR="006745B1" w:rsidRDefault="00674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68C12" w14:textId="77777777" w:rsidR="006745B1" w:rsidRDefault="006745B1" w:rsidP="006745B1">
      <w:pPr>
        <w:spacing w:after="0" w:line="240" w:lineRule="auto"/>
      </w:pPr>
      <w:r>
        <w:separator/>
      </w:r>
    </w:p>
  </w:footnote>
  <w:footnote w:type="continuationSeparator" w:id="0">
    <w:p w14:paraId="4E7802DC" w14:textId="77777777" w:rsidR="006745B1" w:rsidRDefault="006745B1" w:rsidP="006745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50A7"/>
    <w:multiLevelType w:val="hybridMultilevel"/>
    <w:tmpl w:val="086A4650"/>
    <w:lvl w:ilvl="0" w:tplc="F04E803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8936224"/>
    <w:multiLevelType w:val="hybridMultilevel"/>
    <w:tmpl w:val="988239BA"/>
    <w:lvl w:ilvl="0" w:tplc="8F52D900">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B756326"/>
    <w:multiLevelType w:val="hybridMultilevel"/>
    <w:tmpl w:val="039CDD6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C685461"/>
    <w:multiLevelType w:val="hybridMultilevel"/>
    <w:tmpl w:val="C6204F00"/>
    <w:lvl w:ilvl="0" w:tplc="6DEEA700">
      <w:start w:val="1"/>
      <w:numFmt w:val="lowerRoman"/>
      <w:lvlText w:val="(%1)"/>
      <w:lvlJc w:val="left"/>
      <w:pPr>
        <w:ind w:left="1080" w:hanging="360"/>
      </w:pPr>
      <w:rPr>
        <w:rFonts w:ascii="Calibri" w:eastAsia="Times New Roman"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F752F"/>
    <w:multiLevelType w:val="hybridMultilevel"/>
    <w:tmpl w:val="C2B092B0"/>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A4B0E0B"/>
    <w:multiLevelType w:val="hybridMultilevel"/>
    <w:tmpl w:val="C1321278"/>
    <w:lvl w:ilvl="0" w:tplc="0ADE5286">
      <w:start w:val="1"/>
      <w:numFmt w:val="lowerRoman"/>
      <w:lvlText w:val="(%1)"/>
      <w:lvlJc w:val="left"/>
      <w:pPr>
        <w:ind w:left="1080" w:hanging="360"/>
      </w:pPr>
      <w:rPr>
        <w:rFonts w:ascii="Calibri" w:eastAsia="Times New Roman"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EE367A"/>
    <w:multiLevelType w:val="hybridMultilevel"/>
    <w:tmpl w:val="826839F4"/>
    <w:lvl w:ilvl="0" w:tplc="892E13EC">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A9A1965"/>
    <w:multiLevelType w:val="hybridMultilevel"/>
    <w:tmpl w:val="B98CD5A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CD02A81"/>
    <w:multiLevelType w:val="hybridMultilevel"/>
    <w:tmpl w:val="5952221C"/>
    <w:lvl w:ilvl="0" w:tplc="2862BE2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F5C664C"/>
    <w:multiLevelType w:val="hybridMultilevel"/>
    <w:tmpl w:val="61D6B2F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46578240">
    <w:abstractNumId w:val="9"/>
  </w:num>
  <w:num w:numId="2" w16cid:durableId="2113626317">
    <w:abstractNumId w:val="2"/>
  </w:num>
  <w:num w:numId="3" w16cid:durableId="970132893">
    <w:abstractNumId w:val="0"/>
  </w:num>
  <w:num w:numId="4" w16cid:durableId="101188343">
    <w:abstractNumId w:val="7"/>
  </w:num>
  <w:num w:numId="5" w16cid:durableId="1110200787">
    <w:abstractNumId w:val="1"/>
  </w:num>
  <w:num w:numId="6" w16cid:durableId="1725643302">
    <w:abstractNumId w:val="8"/>
  </w:num>
  <w:num w:numId="7" w16cid:durableId="253974224">
    <w:abstractNumId w:val="4"/>
  </w:num>
  <w:num w:numId="8" w16cid:durableId="1142498764">
    <w:abstractNumId w:val="6"/>
  </w:num>
  <w:num w:numId="9" w16cid:durableId="451168344">
    <w:abstractNumId w:val="5"/>
  </w:num>
  <w:num w:numId="10" w16cid:durableId="631061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8EF"/>
    <w:rsid w:val="00013FE6"/>
    <w:rsid w:val="0005131F"/>
    <w:rsid w:val="00062FB3"/>
    <w:rsid w:val="000929FF"/>
    <w:rsid w:val="00095B04"/>
    <w:rsid w:val="00141084"/>
    <w:rsid w:val="001415FD"/>
    <w:rsid w:val="0016313F"/>
    <w:rsid w:val="00176356"/>
    <w:rsid w:val="00182B4B"/>
    <w:rsid w:val="001A33A5"/>
    <w:rsid w:val="001C44E3"/>
    <w:rsid w:val="00216F9C"/>
    <w:rsid w:val="00261C9B"/>
    <w:rsid w:val="00266BEF"/>
    <w:rsid w:val="00287F45"/>
    <w:rsid w:val="002A3683"/>
    <w:rsid w:val="002B4E99"/>
    <w:rsid w:val="002F224C"/>
    <w:rsid w:val="00341BE8"/>
    <w:rsid w:val="00355512"/>
    <w:rsid w:val="003B1FC2"/>
    <w:rsid w:val="003D1661"/>
    <w:rsid w:val="003D5483"/>
    <w:rsid w:val="003E19EB"/>
    <w:rsid w:val="004237C7"/>
    <w:rsid w:val="00433163"/>
    <w:rsid w:val="00465811"/>
    <w:rsid w:val="00467091"/>
    <w:rsid w:val="004951E3"/>
    <w:rsid w:val="004E2C0C"/>
    <w:rsid w:val="004E337D"/>
    <w:rsid w:val="00514E2E"/>
    <w:rsid w:val="005855F8"/>
    <w:rsid w:val="00590FA1"/>
    <w:rsid w:val="005917ED"/>
    <w:rsid w:val="00594FBE"/>
    <w:rsid w:val="00596FEB"/>
    <w:rsid w:val="006161A3"/>
    <w:rsid w:val="006609E9"/>
    <w:rsid w:val="006745B1"/>
    <w:rsid w:val="00674FD9"/>
    <w:rsid w:val="0068381D"/>
    <w:rsid w:val="006928EF"/>
    <w:rsid w:val="006B7FB7"/>
    <w:rsid w:val="006C3D45"/>
    <w:rsid w:val="00722C0F"/>
    <w:rsid w:val="00723D75"/>
    <w:rsid w:val="00724A01"/>
    <w:rsid w:val="00774021"/>
    <w:rsid w:val="007816FD"/>
    <w:rsid w:val="007A6A08"/>
    <w:rsid w:val="007C329B"/>
    <w:rsid w:val="007C59C0"/>
    <w:rsid w:val="007C68E5"/>
    <w:rsid w:val="007C7A3E"/>
    <w:rsid w:val="007F26FC"/>
    <w:rsid w:val="00835CA2"/>
    <w:rsid w:val="0085088F"/>
    <w:rsid w:val="008A0B1F"/>
    <w:rsid w:val="008C36F9"/>
    <w:rsid w:val="008D4C38"/>
    <w:rsid w:val="008D4FC0"/>
    <w:rsid w:val="008E2A87"/>
    <w:rsid w:val="00923DEE"/>
    <w:rsid w:val="00937C4D"/>
    <w:rsid w:val="00945CC1"/>
    <w:rsid w:val="00964CDD"/>
    <w:rsid w:val="009728BC"/>
    <w:rsid w:val="009D6720"/>
    <w:rsid w:val="009D6C84"/>
    <w:rsid w:val="00A24F9D"/>
    <w:rsid w:val="00A27821"/>
    <w:rsid w:val="00A40F3A"/>
    <w:rsid w:val="00A71D55"/>
    <w:rsid w:val="00AA356B"/>
    <w:rsid w:val="00B04139"/>
    <w:rsid w:val="00B63F85"/>
    <w:rsid w:val="00BE6CA8"/>
    <w:rsid w:val="00C25172"/>
    <w:rsid w:val="00C510C4"/>
    <w:rsid w:val="00C64905"/>
    <w:rsid w:val="00C804E7"/>
    <w:rsid w:val="00CA09FE"/>
    <w:rsid w:val="00CC42F9"/>
    <w:rsid w:val="00CC5DC3"/>
    <w:rsid w:val="00CD750D"/>
    <w:rsid w:val="00D10991"/>
    <w:rsid w:val="00D25D3F"/>
    <w:rsid w:val="00D635BA"/>
    <w:rsid w:val="00D753AC"/>
    <w:rsid w:val="00DB118D"/>
    <w:rsid w:val="00DB5BB8"/>
    <w:rsid w:val="00DD0B4B"/>
    <w:rsid w:val="00DE4C9C"/>
    <w:rsid w:val="00E0074C"/>
    <w:rsid w:val="00E82406"/>
    <w:rsid w:val="00E85929"/>
    <w:rsid w:val="00F13EDB"/>
    <w:rsid w:val="00FA32D4"/>
    <w:rsid w:val="00FC7CF1"/>
    <w:rsid w:val="00FD3B01"/>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AF6B"/>
  <w15:chartTrackingRefBased/>
  <w15:docId w15:val="{E301B95D-E66E-4CF3-9B58-1258ED49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NRC,List Paragraph (numbered (a)),List Paragraph1,Paragraphe de liste,Tableau Adere,LIST,U 5,Table of contents numbered,Numbered List Paragraph,Main numbered paragraph,List_Paragraph,Multilevel para_II,Bullets,Dot pt,List1,References"/>
    <w:basedOn w:val="Normal"/>
    <w:link w:val="ListParagraphChar"/>
    <w:uiPriority w:val="34"/>
    <w:qFormat/>
    <w:rsid w:val="00514E2E"/>
    <w:pPr>
      <w:spacing w:after="120" w:line="240" w:lineRule="auto"/>
      <w:ind w:left="720"/>
      <w:contextualSpacing/>
    </w:pPr>
    <w:rPr>
      <w:rFonts w:ascii="Myriad Pro" w:eastAsia="Calibri" w:hAnsi="Myriad Pro" w:cs="Times New Roman"/>
      <w:szCs w:val="24"/>
      <w:lang w:val="en-GB"/>
    </w:rPr>
  </w:style>
  <w:style w:type="table" w:styleId="TableGrid">
    <w:name w:val="Table Grid"/>
    <w:basedOn w:val="TableNormal"/>
    <w:uiPriority w:val="39"/>
    <w:rsid w:val="00514E2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NRC Char,List Paragraph (numbered (a)) Char,List Paragraph1 Char,Paragraphe de liste Char,Tableau Adere Char,LIST Char,U 5 Char,Table of contents numbered Char,Numbered List Paragraph Char,Main numbered paragraph Char,List1 Char"/>
    <w:link w:val="ListParagraph"/>
    <w:uiPriority w:val="34"/>
    <w:qFormat/>
    <w:locked/>
    <w:rsid w:val="00514E2E"/>
    <w:rPr>
      <w:rFonts w:ascii="Myriad Pro" w:eastAsia="Calibri" w:hAnsi="Myriad Pro" w:cs="Times New Roman"/>
      <w:szCs w:val="24"/>
      <w:lang w:val="en-GB"/>
    </w:rPr>
  </w:style>
  <w:style w:type="paragraph" w:customStyle="1" w:styleId="paragraph">
    <w:name w:val="paragraph"/>
    <w:basedOn w:val="Normal"/>
    <w:rsid w:val="004237C7"/>
    <w:pPr>
      <w:spacing w:before="100" w:beforeAutospacing="1" w:after="100" w:afterAutospacing="1" w:line="240" w:lineRule="auto"/>
    </w:pPr>
    <w:rPr>
      <w:rFonts w:ascii="Times New Roman" w:eastAsia="Times New Roman" w:hAnsi="Times New Roman" w:cs="Times New Roman"/>
      <w:sz w:val="24"/>
      <w:szCs w:val="24"/>
      <w:lang w:val="fr-FR"/>
    </w:rPr>
  </w:style>
  <w:style w:type="character" w:customStyle="1" w:styleId="normaltextrun">
    <w:name w:val="normaltextrun"/>
    <w:basedOn w:val="DefaultParagraphFont"/>
    <w:rsid w:val="004237C7"/>
  </w:style>
  <w:style w:type="character" w:customStyle="1" w:styleId="eop">
    <w:name w:val="eop"/>
    <w:basedOn w:val="DefaultParagraphFont"/>
    <w:rsid w:val="004237C7"/>
  </w:style>
  <w:style w:type="character" w:styleId="Hyperlink">
    <w:name w:val="Hyperlink"/>
    <w:uiPriority w:val="99"/>
    <w:unhideWhenUsed/>
    <w:rsid w:val="00DB5BB8"/>
    <w:rPr>
      <w:color w:val="0563C1"/>
      <w:u w:val="single"/>
    </w:rPr>
  </w:style>
  <w:style w:type="character" w:styleId="UnresolvedMention">
    <w:name w:val="Unresolved Mention"/>
    <w:basedOn w:val="DefaultParagraphFont"/>
    <w:uiPriority w:val="99"/>
    <w:semiHidden/>
    <w:unhideWhenUsed/>
    <w:rsid w:val="005855F8"/>
    <w:rPr>
      <w:color w:val="605E5C"/>
      <w:shd w:val="clear" w:color="auto" w:fill="E1DFDD"/>
    </w:rPr>
  </w:style>
  <w:style w:type="paragraph" w:styleId="Header">
    <w:name w:val="header"/>
    <w:basedOn w:val="Normal"/>
    <w:link w:val="HeaderChar"/>
    <w:uiPriority w:val="99"/>
    <w:unhideWhenUsed/>
    <w:rsid w:val="00674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5B1"/>
  </w:style>
  <w:style w:type="paragraph" w:styleId="Footer">
    <w:name w:val="footer"/>
    <w:basedOn w:val="Normal"/>
    <w:link w:val="FooterChar"/>
    <w:uiPriority w:val="99"/>
    <w:unhideWhenUsed/>
    <w:rsid w:val="00674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l.tunisia@gcerf.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pi@gcer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23283-3EE2-4101-AFAD-68585353C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2227</Words>
  <Characters>12697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Munch</dc:creator>
  <cp:keywords/>
  <dc:description/>
  <cp:lastModifiedBy>GCERF</cp:lastModifiedBy>
  <cp:revision>2</cp:revision>
  <dcterms:created xsi:type="dcterms:W3CDTF">2022-12-13T14:04:00Z</dcterms:created>
  <dcterms:modified xsi:type="dcterms:W3CDTF">2022-12-13T14:04:00Z</dcterms:modified>
</cp:coreProperties>
</file>